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52"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u w:val="single" w:color="auto"/>
          <w:color w:val="auto"/>
        </w:rPr>
        <w:t>May 13, 2026</w:t>
      </w:r>
    </w:p>
    <w:p>
      <w:pPr>
        <w:spacing w:after="0" w:line="200" w:lineRule="exact"/>
        <w:rPr>
          <w:sz w:val="24"/>
          <w:szCs w:val="24"/>
          <w:color w:val="auto"/>
        </w:rPr>
      </w:pPr>
    </w:p>
    <w:p>
      <w:pPr>
        <w:spacing w:after="0" w:line="25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43"/>
          <w:szCs w:val="43"/>
          <w:b w:val="1"/>
          <w:bCs w:val="1"/>
          <w:color w:val="auto"/>
        </w:rPr>
        <w:t>Vishay Intertechnology, Inc.</w:t>
      </w:r>
    </w:p>
    <w:p>
      <w:pPr>
        <w:spacing w:after="0" w:line="29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77"/>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224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color w:val="auto"/>
              </w:rPr>
              <w:t>1-7416</w:t>
            </w:r>
          </w:p>
        </w:tc>
        <w:tc>
          <w:tcPr>
            <w:tcW w:w="416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22"/>
                <w:szCs w:val="22"/>
                <w:color w:val="auto"/>
                <w:w w:val="99"/>
              </w:rPr>
              <w:t>38-1686453</w:t>
            </w:r>
          </w:p>
        </w:tc>
      </w:tr>
      <w:tr>
        <w:trPr>
          <w:trHeight w:val="216"/>
        </w:trPr>
        <w:tc>
          <w:tcPr>
            <w:tcW w:w="484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(State or Other Jurisdiction of Incorporation)</w:t>
            </w:r>
          </w:p>
        </w:tc>
        <w:tc>
          <w:tcPr>
            <w:tcW w:w="2240" w:type="dxa"/>
            <w:vAlign w:val="bottom"/>
          </w:tcPr>
          <w:p>
            <w:pPr>
              <w:jc w:val="right"/>
              <w:ind w:right="312"/>
              <w:spacing w:after="0" w:line="216" w:lineRule="exact"/>
              <w:rPr>
                <w:sz w:val="20"/>
                <w:szCs w:val="20"/>
                <w:color w:val="auto"/>
              </w:rPr>
            </w:pPr>
            <w:r>
              <w:rPr>
                <w:rFonts w:ascii="Times New Roman" w:cs="Times New Roman" w:eastAsia="Times New Roman" w:hAnsi="Times New Roman"/>
                <w:sz w:val="22"/>
                <w:szCs w:val="22"/>
                <w:color w:val="auto"/>
              </w:rPr>
              <w:t>(Commission File</w:t>
            </w:r>
          </w:p>
        </w:tc>
        <w:tc>
          <w:tcPr>
            <w:tcW w:w="4160" w:type="dxa"/>
            <w:vAlign w:val="bottom"/>
          </w:tcPr>
          <w:p>
            <w:pPr>
              <w:jc w:val="center"/>
              <w:ind w:left="112"/>
              <w:spacing w:after="0" w:line="216" w:lineRule="exact"/>
              <w:rPr>
                <w:sz w:val="20"/>
                <w:szCs w:val="20"/>
                <w:color w:val="auto"/>
              </w:rPr>
            </w:pPr>
            <w:r>
              <w:rPr>
                <w:rFonts w:ascii="Times New Roman" w:cs="Times New Roman" w:eastAsia="Times New Roman" w:hAnsi="Times New Roman"/>
                <w:sz w:val="22"/>
                <w:szCs w:val="22"/>
                <w:color w:val="auto"/>
                <w:w w:val="98"/>
              </w:rPr>
              <w:t>(I.R.S. Employer Identification Number)</w:t>
            </w:r>
          </w:p>
        </w:tc>
      </w:tr>
      <w:tr>
        <w:trPr>
          <w:trHeight w:val="282"/>
        </w:trPr>
        <w:tc>
          <w:tcPr>
            <w:tcW w:w="4840" w:type="dxa"/>
            <w:vAlign w:val="bottom"/>
          </w:tcPr>
          <w:p>
            <w:pPr>
              <w:spacing w:after="0"/>
              <w:rPr>
                <w:sz w:val="24"/>
                <w:szCs w:val="24"/>
                <w:color w:val="auto"/>
              </w:rPr>
            </w:pPr>
          </w:p>
        </w:tc>
        <w:tc>
          <w:tcPr>
            <w:tcW w:w="224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Number)</w:t>
            </w:r>
          </w:p>
        </w:tc>
        <w:tc>
          <w:tcPr>
            <w:tcW w:w="4160" w:type="dxa"/>
            <w:vAlign w:val="bottom"/>
          </w:tcPr>
          <w:p>
            <w:pPr>
              <w:spacing w:after="0"/>
              <w:rPr>
                <w:sz w:val="24"/>
                <w:szCs w:val="24"/>
                <w:color w:val="auto"/>
              </w:rPr>
            </w:pPr>
          </w:p>
        </w:tc>
      </w:tr>
      <w:tr>
        <w:trPr>
          <w:trHeight w:val="690"/>
        </w:trPr>
        <w:tc>
          <w:tcPr>
            <w:tcW w:w="4840" w:type="dxa"/>
            <w:vAlign w:val="bottom"/>
          </w:tcPr>
          <w:p>
            <w:pPr>
              <w:jc w:val="center"/>
              <w:ind w:left="2352"/>
              <w:spacing w:after="0"/>
              <w:rPr>
                <w:sz w:val="20"/>
                <w:szCs w:val="20"/>
                <w:color w:val="auto"/>
              </w:rPr>
            </w:pPr>
            <w:r>
              <w:rPr>
                <w:rFonts w:ascii="Times New Roman" w:cs="Times New Roman" w:eastAsia="Times New Roman" w:hAnsi="Times New Roman"/>
                <w:sz w:val="22"/>
                <w:szCs w:val="22"/>
                <w:color w:val="auto"/>
                <w:w w:val="97"/>
              </w:rPr>
              <w:t>63 Lancaster Avenue</w:t>
            </w:r>
          </w:p>
        </w:tc>
        <w:tc>
          <w:tcPr>
            <w:tcW w:w="224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77"/>
        </w:trPr>
        <w:tc>
          <w:tcPr>
            <w:tcW w:w="4840" w:type="dxa"/>
            <w:vAlign w:val="bottom"/>
            <w:tcBorders>
              <w:bottom w:val="single" w:sz="8" w:color="auto"/>
            </w:tcBorders>
          </w:tcPr>
          <w:p>
            <w:pPr>
              <w:jc w:val="center"/>
              <w:ind w:left="2352"/>
              <w:spacing w:after="0"/>
              <w:rPr>
                <w:sz w:val="20"/>
                <w:szCs w:val="20"/>
                <w:color w:val="auto"/>
              </w:rPr>
            </w:pPr>
            <w:r>
              <w:rPr>
                <w:rFonts w:ascii="Times New Roman" w:cs="Times New Roman" w:eastAsia="Times New Roman" w:hAnsi="Times New Roman"/>
                <w:sz w:val="22"/>
                <w:szCs w:val="22"/>
                <w:color w:val="auto"/>
                <w:w w:val="96"/>
              </w:rPr>
              <w:t>Malvern, PA</w:t>
            </w:r>
          </w:p>
        </w:tc>
        <w:tc>
          <w:tcPr>
            <w:tcW w:w="22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22"/>
                <w:szCs w:val="22"/>
                <w:color w:val="auto"/>
                <w:w w:val="99"/>
              </w:rPr>
              <w:t>19355-2143</w:t>
            </w:r>
          </w:p>
        </w:tc>
      </w:tr>
      <w:tr>
        <w:trPr>
          <w:trHeight w:val="282"/>
        </w:trPr>
        <w:tc>
          <w:tcPr>
            <w:tcW w:w="708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color w:val="auto"/>
                <w:w w:val="97"/>
              </w:rPr>
              <w:t>(Address of Principal Executive Offices)</w:t>
            </w:r>
          </w:p>
        </w:tc>
        <w:tc>
          <w:tcPr>
            <w:tcW w:w="416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9"/>
              </w:rPr>
              <w:t>Zip Code</w:t>
            </w:r>
          </w:p>
        </w:tc>
      </w:tr>
      <w:tr>
        <w:trPr>
          <w:trHeight w:val="459"/>
        </w:trPr>
        <w:tc>
          <w:tcPr>
            <w:tcW w:w="484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9"/>
              </w:rPr>
              <w:t>Registrant's telephone number, including area code</w:t>
            </w:r>
          </w:p>
        </w:tc>
        <w:tc>
          <w:tcPr>
            <w:tcW w:w="224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610-644-1300</w:t>
            </w:r>
          </w:p>
        </w:tc>
        <w:tc>
          <w:tcPr>
            <w:tcW w:w="4160" w:type="dxa"/>
            <w:vAlign w:val="bottom"/>
          </w:tcPr>
          <w:p>
            <w:pPr>
              <w:spacing w:after="0"/>
              <w:rPr>
                <w:sz w:val="24"/>
                <w:szCs w:val="24"/>
                <w:color w:val="auto"/>
              </w:rPr>
            </w:pPr>
          </w:p>
        </w:tc>
      </w:tr>
    </w:tbl>
    <w:p>
      <w:pPr>
        <w:spacing w:after="0" w:line="200" w:lineRule="exact"/>
        <w:rPr>
          <w:sz w:val="24"/>
          <w:szCs w:val="24"/>
          <w:color w:val="auto"/>
        </w:rPr>
      </w:pPr>
    </w:p>
    <w:p>
      <w:pPr>
        <w:spacing w:after="0" w:line="274"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22"/>
          <w:szCs w:val="2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4" w:lineRule="exact"/>
        <w:rPr>
          <w:sz w:val="24"/>
          <w:szCs w:val="24"/>
          <w:color w:val="auto"/>
        </w:rPr>
      </w:pPr>
    </w:p>
    <w:p>
      <w:pPr>
        <w:ind w:left="340" w:right="114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253" w:lineRule="exact"/>
        <w:rPr>
          <w:sz w:val="24"/>
          <w:szCs w:val="24"/>
          <w:color w:val="auto"/>
        </w:rPr>
      </w:pPr>
    </w:p>
    <w:p>
      <w:pPr>
        <w:ind w:left="1480" w:hanging="1342"/>
        <w:spacing w:after="0"/>
        <w:tabs>
          <w:tab w:leader="none" w:pos="1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7" w:lineRule="exact"/>
        <w:rPr>
          <w:rFonts w:ascii="MS PGothic" w:cs="MS PGothic" w:eastAsia="MS PGothic" w:hAnsi="MS PGothic"/>
          <w:sz w:val="22"/>
          <w:szCs w:val="22"/>
          <w:color w:val="auto"/>
        </w:rPr>
      </w:pPr>
    </w:p>
    <w:p>
      <w:pPr>
        <w:ind w:left="1480" w:hanging="1342"/>
        <w:spacing w:after="0"/>
        <w:tabs>
          <w:tab w:leader="none" w:pos="1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rPr>
      </w:pPr>
    </w:p>
    <w:p>
      <w:pPr>
        <w:ind w:left="1520" w:right="1320" w:hanging="1382"/>
        <w:spacing w:after="0" w:line="181" w:lineRule="auto"/>
        <w:tabs>
          <w:tab w:leader="none" w:pos="1477"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21"/>
          <w:szCs w:val="21"/>
          <w:color w:val="auto"/>
        </w:rPr>
        <w:t>Pre-commencement communications pursuant to Rule 14d-2(b) under the Exchange Act (17 CFR 240.14d-2(b))</w:t>
      </w:r>
    </w:p>
    <w:p>
      <w:pPr>
        <w:spacing w:after="0" w:line="2" w:lineRule="exact"/>
        <w:rPr>
          <w:rFonts w:ascii="MS PGothic" w:cs="MS PGothic" w:eastAsia="MS PGothic" w:hAnsi="MS PGothic"/>
          <w:sz w:val="40"/>
          <w:szCs w:val="40"/>
          <w:color w:val="auto"/>
          <w:vertAlign w:val="subscript"/>
        </w:rPr>
      </w:pPr>
    </w:p>
    <w:p>
      <w:pPr>
        <w:ind w:left="1520" w:right="1340" w:hanging="1382"/>
        <w:spacing w:after="0" w:line="181" w:lineRule="auto"/>
        <w:tabs>
          <w:tab w:leader="none" w:pos="1477" w:val="left"/>
        </w:tabs>
        <w:numPr>
          <w:ilvl w:val="0"/>
          <w:numId w:val="1"/>
        </w:numPr>
        <w:rPr>
          <w:rFonts w:ascii="MS PGothic" w:cs="MS PGothic" w:eastAsia="MS PGothic" w:hAnsi="MS PGothic"/>
          <w:sz w:val="42"/>
          <w:szCs w:val="42"/>
          <w:color w:val="auto"/>
          <w:vertAlign w:val="subscript"/>
        </w:rPr>
      </w:pPr>
      <w:r>
        <w:rPr>
          <w:rFonts w:ascii="Times New Roman" w:cs="Times New Roman" w:eastAsia="Times New Roman" w:hAnsi="Times New Roman"/>
          <w:sz w:val="21"/>
          <w:szCs w:val="21"/>
          <w:color w:val="auto"/>
        </w:rPr>
        <w:t>Pre-commencement communications pursuant to Rule 13e-4(c) under the Exchange Act (17 CFR 240.13e-4(c))</w:t>
      </w:r>
    </w:p>
    <w:p>
      <w:pPr>
        <w:spacing w:after="0" w:line="274"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460"/>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rPr>
        <w:t>☐</w:t>
      </w:r>
    </w:p>
    <w:p>
      <w:pPr>
        <w:spacing w:after="0" w:line="223" w:lineRule="exact"/>
        <w:rPr>
          <w:sz w:val="24"/>
          <w:szCs w:val="24"/>
          <w:color w:val="auto"/>
        </w:rPr>
      </w:pPr>
    </w:p>
    <w:p>
      <w:pPr>
        <w:spacing w:after="0" w:line="285"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40" w:lineRule="exact"/>
        <w:rPr>
          <w:sz w:val="24"/>
          <w:szCs w:val="24"/>
          <w:color w:val="auto"/>
        </w:rPr>
      </w:pPr>
    </w:p>
    <w:tbl>
      <w:tblPr>
        <w:tblLayout w:type="fixed"/>
        <w:tblInd w:w="10" w:type="dxa"/>
        <w:tblCellMar>
          <w:top w:w="0" w:type="dxa"/>
          <w:left w:w="0" w:type="dxa"/>
          <w:bottom w:w="0" w:type="dxa"/>
          <w:right w:w="0" w:type="dxa"/>
        </w:tblCellMar>
      </w:tblPr>
      <w:tr>
        <w:trPr>
          <w:trHeight w:val="496"/>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Title of each class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Trading symbol</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Name of exchange on which registered</w:t>
            </w:r>
          </w:p>
        </w:tc>
      </w:tr>
      <w:tr>
        <w:trPr>
          <w:trHeight w:val="47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Common stock, par value $0.10 per share</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VSH</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New York Stock Exchange</w:t>
            </w:r>
          </w:p>
        </w:tc>
      </w:tr>
      <w:tr>
        <w:trPr>
          <w:trHeight w:val="220"/>
        </w:trPr>
        <w:tc>
          <w:tcPr>
            <w:tcW w:w="376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r>
    </w:tbl>
    <w:p>
      <w:pPr>
        <w:sectPr>
          <w:pgSz w:w="11900" w:h="16838" w:orient="portrait"/>
          <w:cols w:equalWidth="0" w:num="1">
            <w:col w:w="11240"/>
          </w:cols>
          <w:pgMar w:left="320" w:top="2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 Results of Operations and Financial Condition</w:t>
      </w:r>
    </w:p>
    <w:p>
      <w:pPr>
        <w:spacing w:after="0" w:line="23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On May 13, 2026, Vishay Intertechnology, Inc. issued a press release announcing its financial results for the fiscal quarter ended April 4, 2026. A copy of the press release is attached as Exhibit 99.1 to this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 Financial Statements and Exhibits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2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(d) Exhibits</w:t>
            </w:r>
          </w:p>
        </w:tc>
        <w:tc>
          <w:tcPr>
            <w:tcW w:w="296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535"/>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Description</w:t>
            </w:r>
          </w:p>
        </w:tc>
      </w:tr>
      <w:tr>
        <w:trPr>
          <w:trHeight w:val="243"/>
        </w:trPr>
        <w:tc>
          <w:tcPr>
            <w:tcW w:w="76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2960" w:type="dxa"/>
            <w:vAlign w:val="bottom"/>
          </w:tcPr>
          <w:p>
            <w:pPr>
              <w:spacing w:after="0"/>
              <w:rPr>
                <w:sz w:val="21"/>
                <w:szCs w:val="21"/>
                <w:color w:val="auto"/>
              </w:rPr>
            </w:pPr>
          </w:p>
        </w:tc>
        <w:tc>
          <w:tcPr>
            <w:tcW w:w="7040" w:type="dxa"/>
            <w:vAlign w:val="bottom"/>
          </w:tcPr>
          <w:p>
            <w:pPr>
              <w:spacing w:after="0"/>
              <w:rPr>
                <w:sz w:val="21"/>
                <w:szCs w:val="21"/>
                <w:color w:val="auto"/>
              </w:rPr>
            </w:pPr>
          </w:p>
        </w:tc>
      </w:tr>
      <w:tr>
        <w:trPr>
          <w:trHeight w:val="203"/>
        </w:trPr>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22"/>
                <w:szCs w:val="22"/>
                <w:color w:val="0000EE"/>
                <w:w w:val="93"/>
              </w:rPr>
              <w:t>99.</w:t>
            </w:r>
            <w:r>
              <w:rPr>
                <w:rFonts w:ascii="Times New Roman" w:cs="Times New Roman" w:eastAsia="Times New Roman" w:hAnsi="Times New Roman"/>
                <w:sz w:val="22"/>
                <w:szCs w:val="22"/>
                <w:u w:val="single" w:color="auto"/>
                <w:color w:val="0000EE"/>
                <w:w w:val="93"/>
              </w:rPr>
              <w:t>1</w:t>
            </w:r>
          </w:p>
        </w:tc>
        <w:tc>
          <w:tcPr>
            <w:tcW w:w="1000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22"/>
                <w:szCs w:val="22"/>
                <w:color w:val="0000EE"/>
              </w:rPr>
              <w:t>Press release dated May 13, 2026.</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0000EE"/>
            </w:tcBorders>
            <w:shd w:val="clear" w:color="auto" w:fill="CCEEFF"/>
          </w:tcPr>
          <w:p>
            <w:pPr>
              <w:spacing w:after="0" w:line="20" w:lineRule="exact"/>
              <w:rPr>
                <w:sz w:val="1"/>
                <w:szCs w:val="1"/>
                <w:color w:val="auto"/>
              </w:rPr>
            </w:pPr>
          </w:p>
        </w:tc>
        <w:tc>
          <w:tcPr>
            <w:tcW w:w="7040" w:type="dxa"/>
            <w:vAlign w:val="bottom"/>
            <w:tcBorders>
              <w:top w:val="single" w:sz="8" w:color="CCEEFF"/>
            </w:tcBorders>
            <w:shd w:val="clear" w:color="auto" w:fill="CCEEFF"/>
          </w:tcPr>
          <w:p>
            <w:pPr>
              <w:spacing w:after="0" w:line="20" w:lineRule="exact"/>
              <w:rPr>
                <w:sz w:val="1"/>
                <w:szCs w:val="1"/>
                <w:color w:val="auto"/>
              </w:rPr>
            </w:pPr>
          </w:p>
        </w:tc>
      </w:tr>
      <w:tr>
        <w:trPr>
          <w:trHeight w:val="282"/>
        </w:trPr>
        <w:tc>
          <w:tcPr>
            <w:tcW w:w="760" w:type="dxa"/>
            <w:vAlign w:val="bottom"/>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104</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Cover Page Interactive Data File (embedded within the Inline XBRL document).</w:t>
            </w:r>
          </w:p>
        </w:tc>
      </w:tr>
      <w:tr>
        <w:trPr>
          <w:trHeight w:val="913"/>
        </w:trPr>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0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May 13, 2026</w:t>
      </w:r>
    </w:p>
    <w:p>
      <w:pPr>
        <w:spacing w:after="0" w:line="34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VISHAY INTERTECHNOLOGY, INC.</w:t>
      </w:r>
    </w:p>
    <w:p>
      <w:pPr>
        <w:spacing w:after="0" w:line="23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By: /s/ David L.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-13970</wp:posOffset>
            </wp:positionV>
            <wp:extent cx="2676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6525" cy="8255"/>
                    </a:xfrm>
                    <a:prstGeom prst="rect">
                      <a:avLst/>
                    </a:prstGeom>
                    <a:noFill/>
                  </pic:spPr>
                </pic:pic>
              </a:graphicData>
            </a:graphic>
          </wp:anchor>
        </w:drawing>
      </w:r>
    </w:p>
    <w:p>
      <w:pPr>
        <w:spacing w:after="0" w:line="2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 David L. Tomlinson</w:t>
      </w:r>
    </w:p>
    <w:p>
      <w:pPr>
        <w:spacing w:after="0" w:line="1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Title: Senior Vice President – Chief Accounting Officer</w:t>
      </w:r>
    </w:p>
    <w:p>
      <w:pPr>
        <w:sectPr>
          <w:pgSz w:w="11900" w:h="16838" w:orient="portrait"/>
          <w:cols w:equalWidth="0" w:num="1">
            <w:col w:w="11220"/>
          </w:cols>
          <w:pgMar w:left="320" w:top="405"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Vishay Intertechnology Reports First Quarter 2026 Results</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Malvern, PA, May 13, 2026 – Vishay Intertechnology, Inc., (NYSE: VSH), one of the world's largest manufacturers of discrete semiconductors and passive electronic components, today announced results for the fiscal first quarter ended April 4,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8"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1Q 2026 revenues of $839.2 million</w:t>
      </w:r>
    </w:p>
    <w:p>
      <w:pPr>
        <w:ind w:left="340" w:hanging="332"/>
        <w:spacing w:after="0" w:line="230" w:lineRule="auto"/>
        <w:tabs>
          <w:tab w:leader="none" w:pos="3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 margin was 21.0%</w:t>
      </w:r>
    </w:p>
    <w:p>
      <w:pPr>
        <w:ind w:left="340" w:hanging="332"/>
        <w:spacing w:after="0" w:line="230" w:lineRule="auto"/>
        <w:tabs>
          <w:tab w:leader="none" w:pos="3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1Q 2026 GAAP EPS of $0.05</w:t>
      </w:r>
    </w:p>
    <w:p>
      <w:pPr>
        <w:ind w:left="340" w:hanging="332"/>
        <w:spacing w:after="0" w:line="230" w:lineRule="auto"/>
        <w:tabs>
          <w:tab w:leader="none" w:pos="3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1Q 2026 book-to-bill of 1.34 with book-to-bill of 1.47 for semiconductors and 1.23 for passive components</w:t>
      </w:r>
    </w:p>
    <w:p>
      <w:pPr>
        <w:ind w:left="340" w:hanging="332"/>
        <w:spacing w:after="0"/>
        <w:tabs>
          <w:tab w:leader="none" w:pos="3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Backlog at quarter end was 5.7 months</w:t>
      </w:r>
    </w:p>
    <w:p>
      <w:pPr>
        <w:spacing w:after="0" w:line="2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“Vishay’s first quarter financial results demonstrate that the Vishay 3.0 strategy is working. As a result of the investments we made to expand capacity of high-growth, high-margin products, Vishay is reliably scaling with our customers. Our top priority going forward is to increase backlog turns to ensure we maintain competitive lead times as consumption accelerates. Execution of this priority will enable Vishay to participate fully in the market upcycle and grow revenue faster than our end markets, expand margins and enhance returns,” said Joel Smejkal, president and CEO.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2Q 2026 Outlook</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For the second quarter of 2026, management expects revenues in the range of $875 million and $905 million and a gross profit margin in the range of 22.0% +/- 50 basis points.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A conference call to discuss Vishay’s first quarter financial results is scheduled for Wednesday, May 13, 2026, at 9:00 a.m. ET. To participate in the live conference call, please pre-register </w:t>
      </w:r>
      <w:r>
        <w:rPr>
          <w:rFonts w:ascii="Times New Roman" w:cs="Times New Roman" w:eastAsia="Times New Roman" w:hAnsi="Times New Roman"/>
          <w:sz w:val="22"/>
          <w:szCs w:val="22"/>
          <w:u w:val="single" w:color="auto"/>
          <w:color w:val="auto"/>
        </w:rPr>
        <w:t>here</w:t>
      </w:r>
      <w:r>
        <w:rPr>
          <w:rFonts w:ascii="Times New Roman" w:cs="Times New Roman" w:eastAsia="Times New Roman" w:hAnsi="Times New Roman"/>
          <w:sz w:val="22"/>
          <w:szCs w:val="22"/>
          <w:color w:val="auto"/>
        </w:rPr>
        <w:t>. Upon registering, you will be emailed a dial-in number, and unique PIN.</w:t>
      </w:r>
    </w:p>
    <w:p>
      <w:pPr>
        <w:spacing w:after="0" w:line="20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 live audio webcast of the conference call and a PDF copy of the press release and the quarterly presentation will be accessible directly from the Investor Relations section of the Vishay website at http://ir.vishay.com.</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There will be a replay of the conference call available on the Investor Relations website approximately one hour following the call and will remain available for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About Vishay</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Vishay manufactures one of the world’s largest portfolios of discrete semiconductors and passive electronic components that are essential to innovative designs in the automotive, industrial, computing, consumer, telecommunications, military, aerospace, and healthcare markets. Serving customers worldwide, Vishay is </w:t>
      </w:r>
      <w:r>
        <w:rPr>
          <w:rFonts w:ascii="Times New Roman" w:cs="Times New Roman" w:eastAsia="Times New Roman" w:hAnsi="Times New Roman"/>
          <w:sz w:val="22"/>
          <w:szCs w:val="22"/>
          <w:b w:val="1"/>
          <w:bCs w:val="1"/>
          <w:i w:val="1"/>
          <w:iCs w:val="1"/>
          <w:color w:val="auto"/>
        </w:rPr>
        <w:t>The DNA of tech</w:t>
      </w:r>
      <w:r>
        <w:rPr>
          <w:rFonts w:ascii="Times New Roman" w:cs="Times New Roman" w:eastAsia="Times New Roman" w:hAnsi="Times New Roman"/>
          <w:sz w:val="22"/>
          <w:szCs w:val="22"/>
          <w:color w:val="auto"/>
        </w:rPr>
        <w:t xml:space="preserve">®. Vishay Intertechnology, Inc. is a Fortune 1,000 Company listed on the NYSE (VSH). More on Vishay at </w:t>
      </w:r>
      <w:r>
        <w:rPr>
          <w:rFonts w:ascii="Times New Roman" w:cs="Times New Roman" w:eastAsia="Times New Roman" w:hAnsi="Times New Roman"/>
          <w:sz w:val="22"/>
          <w:szCs w:val="22"/>
          <w:u w:val="single" w:color="auto"/>
          <w:color w:val="auto"/>
        </w:rPr>
        <w:t>www.Vishay.com</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This press release includes certain financial measures which are not recognized in accordance with U.S. generally accepted accounting principles ("GAAP"), including free cash; earnings before interest, taxes, depreciation and amortization ("EBITDA"); and EBITDA margin; which are considered "non-GAAP financial measures" under the U.S. Securities and Exchange Commission rules. These non-GAAP measures supplement our GAAP measures of performance or liquidity and should not be viewed as an alternative to GAAP measures of performance or liquidity. Non-GAAP measures such as free cash, EBITDA, and EBITDA margin do not have uniform definitions. These measures, as calculated by Vishay, may not be comparable to similarly titled measures used by other companies. Management believes that such measures are meaningful to investors because they provide insight with respect to intrinsic operating results of the Company. Although the terms "free cash" and "EBITDA" are not defined in GAAP, the measures are derived using various line items measured in accordance with GAAP. The calculation of these measures are indicated on the accompanying reconciliation schedules and are more fully described in the Company’s financial statements presented in its annual report on Form 10-K and its quarterly reports presented on Forms 10-Q.</w:t>
      </w:r>
    </w:p>
    <w:p>
      <w:pPr>
        <w:spacing w:after="0" w:line="20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Statements contained herein that relate to the Company's future performance, including forecasted revenues and margins, return on capital investment, capacity expansion, product lead times, and the performance of the economy in general, are forward-looking statements within the safe harbor provisions of Private Securities Litigation Reform Act of 1995. Words and expressions such as “will,” “expect,” “going forward” or other similar words or expressions often identify forward-looking statements. Such statements are based on current expectations only, and are subject to certain risks, uncertainties and assumptions, many of which are beyond our control. Should one or more of these risks or uncertainties materialize, or should underlying assumptions prove incorrect, actual results, performance, or achievements may vary materially from those anticipated, estimated or projected. Among the factors that could cause actual results to materially differ include: general business and economic conditions; manufacturing or supply chain interruptions or changes in customer demand; delays or difficulties in implementing our cost reduction strategies; delays or difficulties in expanding our manufacturing capacities; an inability to attract and retain highly qualified personnel; changes in foreign currency exchange rates; uncertainty related to the effects of changes in foreign currency exchange rates; competition and technological changes in our industries; difficulties in new product development; difficulties in identifying suitable acquisition candidates, consummating a transaction on terms which we consider acceptable, and integration and performance of acquired businesses; changes in U.S. and foreign trade regulations and tariffs, and uncertainty regarding the same; volatility in prices for metals and materials; changes in applicable domestic and foreign tax regulations, and uncertainty regarding the same; changes in applicable accounting standards and other factors affecting our operations that are set forth in our filings with the Securities and Exchange Commission, including our annual reports on Form 10-K and our quarterly reports on Form 10-Q. We undertake no obligation to publicly update or revise any forward-looking statements, whether as a result of new information, future events or otherwise.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DNA of tech</w:t>
      </w:r>
      <w:r>
        <w:rPr>
          <w:rFonts w:ascii="Times New Roman" w:cs="Times New Roman" w:eastAsia="Times New Roman" w:hAnsi="Times New Roman"/>
          <w:sz w:val="22"/>
          <w:szCs w:val="22"/>
          <w:i w:val="1"/>
          <w:iCs w:val="1"/>
          <w:color w:val="auto"/>
        </w:rPr>
        <w:t>® is a trademark of Vishay Intertechnology.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Vishay Intertechnology, Inc.</w:t>
      </w:r>
    </w:p>
    <w:p>
      <w:pPr>
        <w:spacing w:after="0" w:line="230" w:lineRule="auto"/>
        <w:rPr>
          <w:sz w:val="20"/>
          <w:szCs w:val="20"/>
          <w:color w:val="auto"/>
        </w:rPr>
      </w:pPr>
      <w:r>
        <w:rPr>
          <w:rFonts w:ascii="Times New Roman" w:cs="Times New Roman" w:eastAsia="Times New Roman" w:hAnsi="Times New Roman"/>
          <w:sz w:val="22"/>
          <w:szCs w:val="22"/>
          <w:color w:val="auto"/>
        </w:rPr>
        <w:t>Peter Henrici</w:t>
      </w:r>
    </w:p>
    <w:p>
      <w:pPr>
        <w:spacing w:after="0" w:line="231" w:lineRule="auto"/>
        <w:rPr>
          <w:sz w:val="20"/>
          <w:szCs w:val="20"/>
          <w:color w:val="auto"/>
        </w:rPr>
      </w:pPr>
      <w:r>
        <w:rPr>
          <w:rFonts w:ascii="Times New Roman" w:cs="Times New Roman" w:eastAsia="Times New Roman" w:hAnsi="Times New Roman"/>
          <w:sz w:val="22"/>
          <w:szCs w:val="22"/>
          <w:color w:val="auto"/>
        </w:rPr>
        <w:t>Executive Vice President, Corporate Development</w:t>
      </w:r>
    </w:p>
    <w:p>
      <w:pPr>
        <w:spacing w:after="0"/>
        <w:rPr>
          <w:sz w:val="20"/>
          <w:szCs w:val="20"/>
          <w:color w:val="auto"/>
        </w:rPr>
      </w:pPr>
      <w:r>
        <w:rPr>
          <w:rFonts w:ascii="Times New Roman" w:cs="Times New Roman" w:eastAsia="Times New Roman" w:hAnsi="Times New Roman"/>
          <w:sz w:val="22"/>
          <w:szCs w:val="22"/>
          <w:color w:val="auto"/>
        </w:rPr>
        <w:t>+1-610-644-1300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VISHAY INTERTECHNOLOGY,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Summary of Operations</w:t>
      </w:r>
    </w:p>
    <w:p>
      <w:pPr>
        <w:spacing w:after="0"/>
        <w:rPr>
          <w:sz w:val="20"/>
          <w:szCs w:val="20"/>
          <w:color w:val="auto"/>
        </w:rPr>
      </w:pPr>
      <w:r>
        <w:rPr>
          <w:rFonts w:ascii="Times New Roman" w:cs="Times New Roman" w:eastAsia="Times New Roman" w:hAnsi="Times New Roman"/>
          <w:sz w:val="22"/>
          <w:szCs w:val="22"/>
          <w:color w:val="auto"/>
        </w:rPr>
        <w:t>(Unaudited - In thousands,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4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Fiscal quarters ended</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77"/>
        </w:trPr>
        <w:tc>
          <w:tcPr>
            <w:tcW w:w="626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6"/>
              </w:rPr>
              <w:t>April 4, 2026</w:t>
            </w:r>
          </w:p>
        </w:tc>
        <w:tc>
          <w:tcPr>
            <w:tcW w:w="280" w:type="dxa"/>
            <w:vAlign w:val="bottom"/>
          </w:tcPr>
          <w:p>
            <w:pPr>
              <w:spacing w:after="0"/>
              <w:rPr>
                <w:sz w:val="24"/>
                <w:szCs w:val="24"/>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December 31, 2025</w:t>
            </w: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March 29, 2025</w:t>
            </w:r>
          </w:p>
        </w:tc>
      </w:tr>
      <w:tr>
        <w:trPr>
          <w:trHeight w:val="243"/>
        </w:trPr>
        <w:tc>
          <w:tcPr>
            <w:tcW w:w="62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2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revenues</w:t>
            </w:r>
          </w:p>
        </w:tc>
        <w:tc>
          <w:tcPr>
            <w:tcW w:w="2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839,242</w:t>
            </w: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800,922</w:t>
            </w:r>
          </w:p>
        </w:tc>
        <w:tc>
          <w:tcPr>
            <w:tcW w:w="2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gridSpan w:val="2"/>
            <w:shd w:val="clear" w:color="auto" w:fill="CCEE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715,236</w:t>
            </w:r>
          </w:p>
        </w:tc>
      </w:tr>
      <w:tr>
        <w:trPr>
          <w:trHeight w:val="250"/>
        </w:trPr>
        <w:tc>
          <w:tcPr>
            <w:tcW w:w="6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Costs of products sold</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662,630</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644,135</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579,682</w:t>
            </w:r>
          </w:p>
        </w:tc>
      </w:tr>
      <w:tr>
        <w:trPr>
          <w:trHeight w:val="243"/>
        </w:trPr>
        <w:tc>
          <w:tcPr>
            <w:tcW w:w="62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Gross profit</w:t>
            </w:r>
          </w:p>
        </w:tc>
        <w:tc>
          <w:tcPr>
            <w:tcW w:w="2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176,612</w:t>
            </w:r>
          </w:p>
        </w:tc>
        <w:tc>
          <w:tcPr>
            <w:tcW w:w="280" w:type="dxa"/>
            <w:vAlign w:val="bottom"/>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156,787</w:t>
            </w: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135,554</w:t>
            </w:r>
          </w:p>
        </w:tc>
        <w:tc>
          <w:tcPr>
            <w:tcW w:w="180" w:type="dxa"/>
            <w:vAlign w:val="bottom"/>
            <w:shd w:val="clear" w:color="auto" w:fill="CCEEFF"/>
          </w:tcPr>
          <w:p>
            <w:pPr>
              <w:spacing w:after="0"/>
              <w:rPr>
                <w:sz w:val="21"/>
                <w:szCs w:val="21"/>
                <w:color w:val="auto"/>
              </w:rPr>
            </w:pPr>
          </w:p>
        </w:tc>
      </w:tr>
      <w:tr>
        <w:trPr>
          <w:trHeight w:val="243"/>
        </w:trPr>
        <w:tc>
          <w:tcPr>
            <w:tcW w:w="62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Gross margin</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3"/>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21.0%</w:t>
            </w:r>
          </w:p>
        </w:tc>
        <w:tc>
          <w:tcPr>
            <w:tcW w:w="540" w:type="dxa"/>
            <w:vAlign w:val="bottom"/>
          </w:tcPr>
          <w:p>
            <w:pPr>
              <w:spacing w:after="0"/>
              <w:rPr>
                <w:sz w:val="21"/>
                <w:szCs w:val="21"/>
                <w:color w:val="auto"/>
              </w:rPr>
            </w:pPr>
          </w:p>
        </w:tc>
        <w:tc>
          <w:tcPr>
            <w:tcW w:w="140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19.6%</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19.0%</w:t>
            </w:r>
          </w:p>
        </w:tc>
      </w:tr>
      <w:tr>
        <w:trPr>
          <w:trHeight w:val="243"/>
        </w:trPr>
        <w:tc>
          <w:tcPr>
            <w:tcW w:w="6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spacing w:after="0"/>
              <w:rPr>
                <w:sz w:val="21"/>
                <w:szCs w:val="21"/>
                <w:color w:val="auto"/>
              </w:rPr>
            </w:pPr>
          </w:p>
        </w:tc>
      </w:tr>
      <w:tr>
        <w:trPr>
          <w:trHeight w:val="250"/>
        </w:trPr>
        <w:tc>
          <w:tcPr>
            <w:tcW w:w="6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Selling, general, and administrative expenses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154,488</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141,999</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134,739</w:t>
            </w:r>
          </w:p>
        </w:tc>
      </w:tr>
      <w:tr>
        <w:trPr>
          <w:trHeight w:val="243"/>
        </w:trPr>
        <w:tc>
          <w:tcPr>
            <w:tcW w:w="62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Operating income</w:t>
            </w:r>
          </w:p>
        </w:tc>
        <w:tc>
          <w:tcPr>
            <w:tcW w:w="2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22,124</w:t>
            </w:r>
          </w:p>
        </w:tc>
        <w:tc>
          <w:tcPr>
            <w:tcW w:w="280" w:type="dxa"/>
            <w:vAlign w:val="bottom"/>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14,788</w:t>
            </w: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815</w:t>
            </w:r>
          </w:p>
        </w:tc>
        <w:tc>
          <w:tcPr>
            <w:tcW w:w="180" w:type="dxa"/>
            <w:vAlign w:val="bottom"/>
            <w:shd w:val="clear" w:color="auto" w:fill="CCEEFF"/>
          </w:tcPr>
          <w:p>
            <w:pPr>
              <w:spacing w:after="0"/>
              <w:rPr>
                <w:sz w:val="21"/>
                <w:szCs w:val="21"/>
                <w:color w:val="auto"/>
              </w:rPr>
            </w:pPr>
          </w:p>
        </w:tc>
      </w:tr>
      <w:tr>
        <w:trPr>
          <w:trHeight w:val="243"/>
        </w:trPr>
        <w:tc>
          <w:tcPr>
            <w:tcW w:w="62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Operating margin</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3"/>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540" w:type="dxa"/>
            <w:vAlign w:val="bottom"/>
          </w:tcPr>
          <w:p>
            <w:pPr>
              <w:spacing w:after="0"/>
              <w:rPr>
                <w:sz w:val="21"/>
                <w:szCs w:val="21"/>
                <w:color w:val="auto"/>
              </w:rPr>
            </w:pPr>
          </w:p>
        </w:tc>
        <w:tc>
          <w:tcPr>
            <w:tcW w:w="140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w:t>
            </w:r>
          </w:p>
        </w:tc>
      </w:tr>
      <w:tr>
        <w:trPr>
          <w:trHeight w:val="243"/>
        </w:trPr>
        <w:tc>
          <w:tcPr>
            <w:tcW w:w="6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43"/>
        </w:trPr>
        <w:tc>
          <w:tcPr>
            <w:tcW w:w="6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 income (expense):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2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Interest expense</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(9,973)</w:t>
            </w:r>
          </w:p>
        </w:tc>
        <w:tc>
          <w:tcPr>
            <w:tcW w:w="5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(9,748)</w:t>
            </w: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(8,790)</w:t>
            </w:r>
          </w:p>
        </w:tc>
      </w:tr>
      <w:tr>
        <w:trPr>
          <w:trHeight w:val="250"/>
        </w:trPr>
        <w:tc>
          <w:tcPr>
            <w:tcW w:w="62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701</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537</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3,747</w:t>
            </w:r>
          </w:p>
        </w:tc>
      </w:tr>
      <w:tr>
        <w:trPr>
          <w:trHeight w:val="250"/>
        </w:trPr>
        <w:tc>
          <w:tcPr>
            <w:tcW w:w="6260" w:type="dxa"/>
            <w:vAlign w:val="bottom"/>
            <w:tcBorders>
              <w:bottom w:val="single" w:sz="8" w:color="CCEEFF"/>
            </w:tcBorders>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Total other income (expense) - net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(9,272)</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(9,211)</w:t>
            </w: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(5,043)</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r>
      <w:tr>
        <w:trPr>
          <w:trHeight w:val="243"/>
        </w:trPr>
        <w:tc>
          <w:tcPr>
            <w:tcW w:w="62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Income (loss) before taxes</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12,852</w:t>
            </w: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5,577</w:t>
            </w: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(4,228)</w:t>
            </w:r>
          </w:p>
        </w:tc>
      </w:tr>
      <w:tr>
        <w:trPr>
          <w:trHeight w:val="243"/>
        </w:trPr>
        <w:tc>
          <w:tcPr>
            <w:tcW w:w="6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r>
      <w:tr>
        <w:trPr>
          <w:trHeight w:val="243"/>
        </w:trPr>
        <w:tc>
          <w:tcPr>
            <w:tcW w:w="62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Income tax expense (benefit)</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5,688</w:t>
            </w: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4,591</w:t>
            </w: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(136)</w:t>
            </w:r>
          </w:p>
        </w:tc>
      </w:tr>
      <w:tr>
        <w:trPr>
          <w:trHeight w:val="250"/>
        </w:trPr>
        <w:tc>
          <w:tcPr>
            <w:tcW w:w="6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84"/>
        </w:trPr>
        <w:tc>
          <w:tcPr>
            <w:tcW w:w="626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earnings (loss)</w:t>
            </w: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7,164</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986</w:t>
            </w:r>
          </w:p>
        </w:tc>
        <w:tc>
          <w:tcPr>
            <w:tcW w:w="2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(4,092)</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236"/>
        </w:trPr>
        <w:tc>
          <w:tcPr>
            <w:tcW w:w="626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88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1160" w:type="dxa"/>
            <w:vAlign w:val="bottom"/>
            <w:gridSpan w:val="2"/>
          </w:tcPr>
          <w:p>
            <w:pPr>
              <w:spacing w:after="0"/>
              <w:rPr>
                <w:sz w:val="20"/>
                <w:szCs w:val="20"/>
                <w:color w:val="auto"/>
              </w:rPr>
            </w:pPr>
          </w:p>
        </w:tc>
      </w:tr>
      <w:tr>
        <w:trPr>
          <w:trHeight w:val="243"/>
        </w:trPr>
        <w:tc>
          <w:tcPr>
            <w:tcW w:w="62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Basic earnings (loss) per share</w:t>
            </w:r>
          </w:p>
        </w:tc>
        <w:tc>
          <w:tcPr>
            <w:tcW w:w="2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0.05</w:t>
            </w: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0.01</w:t>
            </w:r>
          </w:p>
        </w:tc>
        <w:tc>
          <w:tcPr>
            <w:tcW w:w="2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(0.03)</w:t>
            </w:r>
          </w:p>
        </w:tc>
      </w:tr>
      <w:tr>
        <w:trPr>
          <w:trHeight w:val="243"/>
        </w:trPr>
        <w:tc>
          <w:tcPr>
            <w:tcW w:w="626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88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160" w:type="dxa"/>
            <w:vAlign w:val="bottom"/>
            <w:gridSpan w:val="2"/>
          </w:tcPr>
          <w:p>
            <w:pPr>
              <w:spacing w:after="0"/>
              <w:rPr>
                <w:sz w:val="21"/>
                <w:szCs w:val="21"/>
                <w:color w:val="auto"/>
              </w:rPr>
            </w:pPr>
          </w:p>
        </w:tc>
      </w:tr>
      <w:tr>
        <w:trPr>
          <w:trHeight w:val="243"/>
        </w:trPr>
        <w:tc>
          <w:tcPr>
            <w:tcW w:w="62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Diluted earnings (loss) per share</w:t>
            </w:r>
          </w:p>
        </w:tc>
        <w:tc>
          <w:tcPr>
            <w:tcW w:w="2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0.05</w:t>
            </w: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0.01</w:t>
            </w:r>
          </w:p>
        </w:tc>
        <w:tc>
          <w:tcPr>
            <w:tcW w:w="2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(0.03)</w:t>
            </w:r>
          </w:p>
        </w:tc>
      </w:tr>
      <w:tr>
        <w:trPr>
          <w:trHeight w:val="243"/>
        </w:trPr>
        <w:tc>
          <w:tcPr>
            <w:tcW w:w="6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r>
      <w:tr>
        <w:trPr>
          <w:trHeight w:val="243"/>
        </w:trPr>
        <w:tc>
          <w:tcPr>
            <w:tcW w:w="62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Weighted average shares outstanding - basic</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136,045</w:t>
            </w: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135,727</w:t>
            </w: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135,799</w:t>
            </w:r>
          </w:p>
        </w:tc>
      </w:tr>
      <w:tr>
        <w:trPr>
          <w:trHeight w:val="243"/>
        </w:trPr>
        <w:tc>
          <w:tcPr>
            <w:tcW w:w="6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r>
      <w:tr>
        <w:trPr>
          <w:trHeight w:val="243"/>
        </w:trPr>
        <w:tc>
          <w:tcPr>
            <w:tcW w:w="62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Weighted average shares outstanding - diluted</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137,471</w:t>
            </w: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136,730</w:t>
            </w: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135,799</w:t>
            </w:r>
          </w:p>
        </w:tc>
      </w:tr>
      <w:tr>
        <w:trPr>
          <w:trHeight w:val="243"/>
        </w:trPr>
        <w:tc>
          <w:tcPr>
            <w:tcW w:w="626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88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160" w:type="dxa"/>
            <w:vAlign w:val="bottom"/>
            <w:gridSpan w:val="2"/>
          </w:tcPr>
          <w:p>
            <w:pPr>
              <w:spacing w:after="0"/>
              <w:rPr>
                <w:sz w:val="21"/>
                <w:szCs w:val="21"/>
                <w:color w:val="auto"/>
              </w:rPr>
            </w:pPr>
          </w:p>
        </w:tc>
      </w:tr>
      <w:tr>
        <w:trPr>
          <w:trHeight w:val="243"/>
        </w:trPr>
        <w:tc>
          <w:tcPr>
            <w:tcW w:w="62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Cash dividends per share</w:t>
            </w:r>
          </w:p>
        </w:tc>
        <w:tc>
          <w:tcPr>
            <w:tcW w:w="2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0.10</w:t>
            </w: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0.10</w:t>
            </w:r>
          </w:p>
        </w:tc>
        <w:tc>
          <w:tcPr>
            <w:tcW w:w="2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gridSpan w:val="2"/>
            <w:shd w:val="clear" w:color="auto" w:fill="CCEE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0.10</w:t>
            </w:r>
          </w:p>
        </w:tc>
      </w:tr>
      <w:tr>
        <w:trPr>
          <w:trHeight w:val="223"/>
        </w:trPr>
        <w:tc>
          <w:tcPr>
            <w:tcW w:w="6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bl>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VISHAY INTERTECHNOLOGY,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Condensed Balance Sheets</w:t>
      </w:r>
    </w:p>
    <w:p>
      <w:pPr>
        <w:spacing w:after="0"/>
        <w:rPr>
          <w:sz w:val="20"/>
          <w:szCs w:val="20"/>
          <w:color w:val="auto"/>
        </w:rPr>
      </w:pPr>
      <w:r>
        <w:rPr>
          <w:rFonts w:ascii="Times New Roman" w:cs="Times New Roman" w:eastAsia="Times New Roman" w:hAnsi="Times New Roman"/>
          <w:sz w:val="22"/>
          <w:szCs w:val="22"/>
          <w:color w:val="auto"/>
        </w:rPr>
        <w:t>(Unaudited -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Assets</w:t>
            </w:r>
          </w:p>
        </w:tc>
        <w:tc>
          <w:tcPr>
            <w:tcW w:w="13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April 4, 2026</w:t>
            </w: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December 31, 2025</w:t>
            </w:r>
          </w:p>
        </w:tc>
        <w:tc>
          <w:tcPr>
            <w:tcW w:w="0" w:type="dxa"/>
            <w:vAlign w:val="bottom"/>
          </w:tcPr>
          <w:p>
            <w:pPr>
              <w:spacing w:after="0"/>
              <w:rPr>
                <w:sz w:val="1"/>
                <w:szCs w:val="1"/>
                <w:color w:val="auto"/>
              </w:rPr>
            </w:pPr>
          </w:p>
        </w:tc>
      </w:tr>
      <w:tr>
        <w:trPr>
          <w:trHeight w:val="216"/>
        </w:trPr>
        <w:tc>
          <w:tcPr>
            <w:tcW w:w="80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Current assets:</w:t>
            </w: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Cash and cash equivalents</w:t>
            </w:r>
          </w:p>
        </w:tc>
        <w:tc>
          <w:tcPr>
            <w:tcW w:w="1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479,357</w:t>
            </w:r>
          </w:p>
        </w:tc>
        <w:tc>
          <w:tcPr>
            <w:tcW w:w="1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514,966</w:t>
            </w:r>
          </w:p>
        </w:tc>
        <w:tc>
          <w:tcPr>
            <w:tcW w:w="0" w:type="dxa"/>
            <w:vAlign w:val="bottom"/>
          </w:tcPr>
          <w:p>
            <w:pPr>
              <w:spacing w:after="0"/>
              <w:rPr>
                <w:sz w:val="1"/>
                <w:szCs w:val="1"/>
                <w:color w:val="auto"/>
              </w:rPr>
            </w:pPr>
          </w:p>
        </w:tc>
      </w:tr>
      <w:tr>
        <w:trPr>
          <w:trHeight w:val="243"/>
        </w:trPr>
        <w:tc>
          <w:tcPr>
            <w:tcW w:w="8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Short-term investments</w:t>
            </w: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191</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265</w:t>
            </w: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ind w:left="100"/>
              <w:spacing w:after="0" w:line="243" w:lineRule="exact"/>
              <w:rPr>
                <w:sz w:val="20"/>
                <w:szCs w:val="20"/>
                <w:color w:val="auto"/>
              </w:rPr>
            </w:pPr>
            <w:r>
              <w:rPr>
                <w:rFonts w:ascii="Times New Roman" w:cs="Times New Roman" w:eastAsia="Times New Roman" w:hAnsi="Times New Roman"/>
                <w:sz w:val="22"/>
                <w:szCs w:val="22"/>
                <w:color w:val="auto"/>
              </w:rPr>
              <w:t>Accounts receivable, net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369,222</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381,802</w:t>
            </w:r>
          </w:p>
        </w:tc>
        <w:tc>
          <w:tcPr>
            <w:tcW w:w="0" w:type="dxa"/>
            <w:vAlign w:val="bottom"/>
          </w:tcPr>
          <w:p>
            <w:pPr>
              <w:spacing w:after="0"/>
              <w:rPr>
                <w:sz w:val="1"/>
                <w:szCs w:val="1"/>
                <w:color w:val="auto"/>
              </w:rPr>
            </w:pPr>
          </w:p>
        </w:tc>
      </w:tr>
      <w:tr>
        <w:trPr>
          <w:trHeight w:val="243"/>
        </w:trPr>
        <w:tc>
          <w:tcPr>
            <w:tcW w:w="8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Inventories:</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22"/>
                <w:szCs w:val="22"/>
                <w:color w:val="auto"/>
              </w:rPr>
              <w:t>Finished goods</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182,179</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182,444</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Work in process</w:t>
            </w: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347,994</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331,347</w:t>
            </w:r>
          </w:p>
        </w:tc>
        <w:tc>
          <w:tcPr>
            <w:tcW w:w="0" w:type="dxa"/>
            <w:vAlign w:val="bottom"/>
          </w:tcPr>
          <w:p>
            <w:pPr>
              <w:spacing w:after="0"/>
              <w:rPr>
                <w:sz w:val="1"/>
                <w:szCs w:val="1"/>
                <w:color w:val="auto"/>
              </w:rPr>
            </w:pPr>
          </w:p>
        </w:tc>
      </w:tr>
      <w:tr>
        <w:trPr>
          <w:trHeight w:val="250"/>
        </w:trPr>
        <w:tc>
          <w:tcPr>
            <w:tcW w:w="8080" w:type="dxa"/>
            <w:vAlign w:val="bottom"/>
            <w:tcBorders>
              <w:bottom w:val="single" w:sz="8" w:color="CCEEFF"/>
            </w:tcBorders>
            <w:shd w:val="clear" w:color="auto" w:fill="CCEEFF"/>
          </w:tcPr>
          <w:p>
            <w:pPr>
              <w:ind w:left="220"/>
              <w:spacing w:after="0" w:line="243" w:lineRule="exact"/>
              <w:rPr>
                <w:sz w:val="20"/>
                <w:szCs w:val="20"/>
                <w:color w:val="auto"/>
              </w:rPr>
            </w:pPr>
            <w:r>
              <w:rPr>
                <w:rFonts w:ascii="Times New Roman" w:cs="Times New Roman" w:eastAsia="Times New Roman" w:hAnsi="Times New Roman"/>
                <w:sz w:val="22"/>
                <w:szCs w:val="22"/>
                <w:color w:val="auto"/>
              </w:rPr>
              <w:t>Raw materials</w:t>
            </w: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260,611</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245,412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Total inventories</w:t>
            </w: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790,784</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759,203</w:t>
            </w: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Prepaid expenses and other current assets</w:t>
            </w: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237,429</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231,004</w:t>
            </w: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Total current assets</w:t>
            </w:r>
          </w:p>
        </w:tc>
        <w:tc>
          <w:tcPr>
            <w:tcW w:w="16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1,876,983</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1,887,240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Property and equipment, at cost: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Land</w:t>
            </w: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86,093</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86,399</w:t>
            </w: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Buildings and improvements</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836,309</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839,856</w:t>
            </w:r>
          </w:p>
        </w:tc>
        <w:tc>
          <w:tcPr>
            <w:tcW w:w="0" w:type="dxa"/>
            <w:vAlign w:val="bottom"/>
          </w:tcPr>
          <w:p>
            <w:pPr>
              <w:spacing w:after="0"/>
              <w:rPr>
                <w:sz w:val="1"/>
                <w:szCs w:val="1"/>
                <w:color w:val="auto"/>
              </w:rPr>
            </w:pPr>
          </w:p>
        </w:tc>
      </w:tr>
      <w:tr>
        <w:trPr>
          <w:trHeight w:val="243"/>
        </w:trPr>
        <w:tc>
          <w:tcPr>
            <w:tcW w:w="8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Machinery and equipment</w:t>
            </w: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3,503,626</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3,477,884</w:t>
            </w: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Construction in progress</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509,318</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464,475</w:t>
            </w:r>
          </w:p>
        </w:tc>
        <w:tc>
          <w:tcPr>
            <w:tcW w:w="0" w:type="dxa"/>
            <w:vAlign w:val="bottom"/>
          </w:tcPr>
          <w:p>
            <w:pPr>
              <w:spacing w:after="0"/>
              <w:rPr>
                <w:sz w:val="1"/>
                <w:szCs w:val="1"/>
                <w:color w:val="auto"/>
              </w:rPr>
            </w:pPr>
          </w:p>
        </w:tc>
      </w:tr>
      <w:tr>
        <w:trPr>
          <w:trHeight w:val="250"/>
        </w:trPr>
        <w:tc>
          <w:tcPr>
            <w:tcW w:w="80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Allowance for depreciation</w:t>
            </w:r>
          </w:p>
        </w:tc>
        <w:tc>
          <w:tcPr>
            <w:tcW w:w="160" w:type="dxa"/>
            <w:vAlign w:val="bottom"/>
          </w:tcPr>
          <w:p>
            <w:pPr>
              <w:spacing w:after="0"/>
              <w:rPr>
                <w:sz w:val="21"/>
                <w:szCs w:val="21"/>
                <w:color w:val="auto"/>
              </w:rPr>
            </w:pPr>
          </w:p>
        </w:tc>
        <w:tc>
          <w:tcPr>
            <w:tcW w:w="114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(3,215,047)</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(3,195,455)</w:t>
            </w: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1,720,299</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1,673,159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Right of use assets</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116,526</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119,746</w:t>
            </w:r>
          </w:p>
        </w:tc>
        <w:tc>
          <w:tcPr>
            <w:tcW w:w="0" w:type="dxa"/>
            <w:vAlign w:val="bottom"/>
          </w:tcPr>
          <w:p>
            <w:pPr>
              <w:spacing w:after="0"/>
              <w:rPr>
                <w:sz w:val="1"/>
                <w:szCs w:val="1"/>
                <w:color w:val="auto"/>
              </w:rPr>
            </w:pPr>
          </w:p>
        </w:tc>
      </w:tr>
      <w:tr>
        <w:trPr>
          <w:trHeight w:val="243"/>
        </w:trPr>
        <w:tc>
          <w:tcPr>
            <w:tcW w:w="8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Deferred income taxes</w:t>
            </w: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182,693</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183,016</w:t>
            </w: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Goodwill</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180,224</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180,390</w:t>
            </w:r>
          </w:p>
        </w:tc>
        <w:tc>
          <w:tcPr>
            <w:tcW w:w="0" w:type="dxa"/>
            <w:vAlign w:val="bottom"/>
          </w:tcPr>
          <w:p>
            <w:pPr>
              <w:spacing w:after="0"/>
              <w:rPr>
                <w:sz w:val="1"/>
                <w:szCs w:val="1"/>
                <w:color w:val="auto"/>
              </w:rPr>
            </w:pPr>
          </w:p>
        </w:tc>
      </w:tr>
      <w:tr>
        <w:trPr>
          <w:trHeight w:val="243"/>
        </w:trPr>
        <w:tc>
          <w:tcPr>
            <w:tcW w:w="8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 intangible assets, net</w:t>
            </w: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74,396</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78,487</w:t>
            </w:r>
          </w:p>
        </w:tc>
        <w:tc>
          <w:tcPr>
            <w:tcW w:w="0" w:type="dxa"/>
            <w:vAlign w:val="bottom"/>
          </w:tcPr>
          <w:p>
            <w:pPr>
              <w:spacing w:after="0"/>
              <w:rPr>
                <w:sz w:val="1"/>
                <w:szCs w:val="1"/>
                <w:color w:val="auto"/>
              </w:rPr>
            </w:pPr>
          </w:p>
        </w:tc>
      </w:tr>
      <w:tr>
        <w:trPr>
          <w:trHeight w:val="250"/>
        </w:trPr>
        <w:tc>
          <w:tcPr>
            <w:tcW w:w="808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Other assets</w:t>
            </w: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111,434</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112,122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Total assets</w:t>
            </w:r>
          </w:p>
        </w:tc>
        <w:tc>
          <w:tcPr>
            <w:tcW w:w="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4,262,555</w:t>
            </w:r>
          </w:p>
        </w:tc>
        <w:tc>
          <w:tcPr>
            <w:tcW w:w="160" w:type="dxa"/>
            <w:vAlign w:val="bottom"/>
          </w:tcPr>
          <w:p>
            <w:pPr>
              <w:spacing w:after="0"/>
              <w:rPr>
                <w:sz w:val="21"/>
                <w:szCs w:val="21"/>
                <w:color w:val="auto"/>
              </w:rPr>
            </w:pPr>
          </w:p>
        </w:tc>
        <w:tc>
          <w:tcPr>
            <w:tcW w:w="50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4,234,160</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80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VISHAY INTERTECHNOLOGY,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Condensed Balance Sheets (continued)</w:t>
      </w:r>
    </w:p>
    <w:p>
      <w:pPr>
        <w:spacing w:after="0"/>
        <w:rPr>
          <w:sz w:val="20"/>
          <w:szCs w:val="20"/>
          <w:color w:val="auto"/>
        </w:rPr>
      </w:pPr>
      <w:r>
        <w:rPr>
          <w:rFonts w:ascii="Times New Roman" w:cs="Times New Roman" w:eastAsia="Times New Roman" w:hAnsi="Times New Roman"/>
          <w:sz w:val="22"/>
          <w:szCs w:val="22"/>
          <w:color w:val="auto"/>
        </w:rPr>
        <w:t>(Unaudited -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Liabilities and equity</w:t>
            </w:r>
          </w:p>
        </w:tc>
        <w:tc>
          <w:tcPr>
            <w:tcW w:w="12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April 4, 2026</w:t>
            </w:r>
          </w:p>
        </w:tc>
        <w:tc>
          <w:tcPr>
            <w:tcW w:w="190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December 31, 2025</w:t>
            </w:r>
          </w:p>
        </w:tc>
        <w:tc>
          <w:tcPr>
            <w:tcW w:w="0" w:type="dxa"/>
            <w:vAlign w:val="bottom"/>
          </w:tcPr>
          <w:p>
            <w:pPr>
              <w:spacing w:after="0"/>
              <w:rPr>
                <w:sz w:val="1"/>
                <w:szCs w:val="1"/>
                <w:color w:val="auto"/>
              </w:rPr>
            </w:pPr>
          </w:p>
        </w:tc>
      </w:tr>
      <w:tr>
        <w:trPr>
          <w:trHeight w:val="216"/>
        </w:trPr>
        <w:tc>
          <w:tcPr>
            <w:tcW w:w="808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Current liabilities:</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Trade accounts payable</w:t>
            </w:r>
          </w:p>
        </w:tc>
        <w:tc>
          <w:tcPr>
            <w:tcW w:w="2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238,954</w:t>
            </w: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214,984</w:t>
            </w:r>
          </w:p>
        </w:tc>
        <w:tc>
          <w:tcPr>
            <w:tcW w:w="0" w:type="dxa"/>
            <w:vAlign w:val="bottom"/>
          </w:tcPr>
          <w:p>
            <w:pPr>
              <w:spacing w:after="0"/>
              <w:rPr>
                <w:sz w:val="1"/>
                <w:szCs w:val="1"/>
                <w:color w:val="auto"/>
              </w:rPr>
            </w:pPr>
          </w:p>
        </w:tc>
      </w:tr>
      <w:tr>
        <w:trPr>
          <w:trHeight w:val="243"/>
        </w:trPr>
        <w:tc>
          <w:tcPr>
            <w:tcW w:w="8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Payroll and related expenses</w:t>
            </w:r>
          </w:p>
        </w:tc>
        <w:tc>
          <w:tcPr>
            <w:tcW w:w="20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166,690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164,114</w:t>
            </w: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Lease liabilities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26,166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26,546</w:t>
            </w:r>
          </w:p>
        </w:tc>
        <w:tc>
          <w:tcPr>
            <w:tcW w:w="0" w:type="dxa"/>
            <w:vAlign w:val="bottom"/>
          </w:tcPr>
          <w:p>
            <w:pPr>
              <w:spacing w:after="0"/>
              <w:rPr>
                <w:sz w:val="1"/>
                <w:szCs w:val="1"/>
                <w:color w:val="auto"/>
              </w:rPr>
            </w:pPr>
          </w:p>
        </w:tc>
      </w:tr>
      <w:tr>
        <w:trPr>
          <w:trHeight w:val="243"/>
        </w:trPr>
        <w:tc>
          <w:tcPr>
            <w:tcW w:w="8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Other accrued expenses</w:t>
            </w:r>
          </w:p>
        </w:tc>
        <w:tc>
          <w:tcPr>
            <w:tcW w:w="20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269,049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300,031</w:t>
            </w:r>
          </w:p>
        </w:tc>
        <w:tc>
          <w:tcPr>
            <w:tcW w:w="0" w:type="dxa"/>
            <w:vAlign w:val="bottom"/>
          </w:tcPr>
          <w:p>
            <w:pPr>
              <w:spacing w:after="0"/>
              <w:rPr>
                <w:sz w:val="1"/>
                <w:szCs w:val="1"/>
                <w:color w:val="auto"/>
              </w:rPr>
            </w:pPr>
          </w:p>
        </w:tc>
      </w:tr>
      <w:tr>
        <w:trPr>
          <w:trHeight w:val="250"/>
        </w:trPr>
        <w:tc>
          <w:tcPr>
            <w:tcW w:w="8080" w:type="dxa"/>
            <w:vAlign w:val="bottom"/>
            <w:tcBorders>
              <w:bottom w:val="single" w:sz="8" w:color="CCEEFF"/>
            </w:tcBorders>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Income taxes</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11,376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14,751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Total current liabilities</w:t>
            </w:r>
          </w:p>
        </w:tc>
        <w:tc>
          <w:tcPr>
            <w:tcW w:w="20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712,235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720,426</w:t>
            </w: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Long-term debt less current portion</w:t>
            </w:r>
          </w:p>
        </w:tc>
        <w:tc>
          <w:tcPr>
            <w:tcW w:w="20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983,090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950,893</w:t>
            </w: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Deferred income taxes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97,717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96,818</w:t>
            </w:r>
          </w:p>
        </w:tc>
        <w:tc>
          <w:tcPr>
            <w:tcW w:w="0" w:type="dxa"/>
            <w:vAlign w:val="bottom"/>
          </w:tcPr>
          <w:p>
            <w:pPr>
              <w:spacing w:after="0"/>
              <w:rPr>
                <w:sz w:val="1"/>
                <w:szCs w:val="1"/>
                <w:color w:val="auto"/>
              </w:rPr>
            </w:pPr>
          </w:p>
        </w:tc>
      </w:tr>
      <w:tr>
        <w:trPr>
          <w:trHeight w:val="243"/>
        </w:trPr>
        <w:tc>
          <w:tcPr>
            <w:tcW w:w="8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Long-term lease liabilities</w:t>
            </w:r>
          </w:p>
        </w:tc>
        <w:tc>
          <w:tcPr>
            <w:tcW w:w="20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92,458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95,799</w:t>
            </w: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Other liabilities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131,702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109,228</w:t>
            </w:r>
          </w:p>
        </w:tc>
        <w:tc>
          <w:tcPr>
            <w:tcW w:w="0" w:type="dxa"/>
            <w:vAlign w:val="bottom"/>
          </w:tcPr>
          <w:p>
            <w:pPr>
              <w:spacing w:after="0"/>
              <w:rPr>
                <w:sz w:val="1"/>
                <w:szCs w:val="1"/>
                <w:color w:val="auto"/>
              </w:rPr>
            </w:pPr>
          </w:p>
        </w:tc>
      </w:tr>
      <w:tr>
        <w:trPr>
          <w:trHeight w:val="250"/>
        </w:trPr>
        <w:tc>
          <w:tcPr>
            <w:tcW w:w="8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pension and other postretirement costs</w:t>
            </w:r>
          </w:p>
        </w:tc>
        <w:tc>
          <w:tcPr>
            <w:tcW w:w="20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169,488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172,723</w:t>
            </w:r>
          </w:p>
        </w:tc>
        <w:tc>
          <w:tcPr>
            <w:tcW w:w="0" w:type="dxa"/>
            <w:vAlign w:val="bottom"/>
          </w:tcPr>
          <w:p>
            <w:pPr>
              <w:spacing w:after="0"/>
              <w:rPr>
                <w:sz w:val="1"/>
                <w:szCs w:val="1"/>
                <w:color w:val="auto"/>
              </w:rPr>
            </w:pPr>
          </w:p>
        </w:tc>
      </w:tr>
      <w:tr>
        <w:trPr>
          <w:trHeight w:val="250"/>
        </w:trPr>
        <w:tc>
          <w:tcPr>
            <w:tcW w:w="808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Total liabilities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2,186,690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2,145,887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Equity:</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0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12,402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12,351</w:t>
            </w: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B convertible common stock</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1,210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1,210</w:t>
            </w:r>
          </w:p>
        </w:tc>
        <w:tc>
          <w:tcPr>
            <w:tcW w:w="0" w:type="dxa"/>
            <w:vAlign w:val="bottom"/>
          </w:tcPr>
          <w:p>
            <w:pPr>
              <w:spacing w:after="0"/>
              <w:rPr>
                <w:sz w:val="1"/>
                <w:szCs w:val="1"/>
                <w:color w:val="auto"/>
              </w:rPr>
            </w:pPr>
          </w:p>
        </w:tc>
      </w:tr>
      <w:tr>
        <w:trPr>
          <w:trHeight w:val="243"/>
        </w:trPr>
        <w:tc>
          <w:tcPr>
            <w:tcW w:w="8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Capital in excess of par value</w:t>
            </w:r>
          </w:p>
        </w:tc>
        <w:tc>
          <w:tcPr>
            <w:tcW w:w="20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1,109,461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1,101,086</w:t>
            </w: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Retained earnings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885,771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892,232</w:t>
            </w:r>
          </w:p>
        </w:tc>
        <w:tc>
          <w:tcPr>
            <w:tcW w:w="0" w:type="dxa"/>
            <w:vAlign w:val="bottom"/>
          </w:tcPr>
          <w:p>
            <w:pPr>
              <w:spacing w:after="0"/>
              <w:rPr>
                <w:sz w:val="1"/>
                <w:szCs w:val="1"/>
                <w:color w:val="auto"/>
              </w:rPr>
            </w:pPr>
          </w:p>
        </w:tc>
      </w:tr>
      <w:tr>
        <w:trPr>
          <w:trHeight w:val="250"/>
        </w:trPr>
        <w:tc>
          <w:tcPr>
            <w:tcW w:w="80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Accumulated other comprehensive income</w:t>
            </w:r>
          </w:p>
        </w:tc>
        <w:tc>
          <w:tcPr>
            <w:tcW w:w="20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67,021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81,394</w:t>
            </w:r>
          </w:p>
        </w:tc>
        <w:tc>
          <w:tcPr>
            <w:tcW w:w="0" w:type="dxa"/>
            <w:vAlign w:val="bottom"/>
          </w:tcPr>
          <w:p>
            <w:pPr>
              <w:spacing w:after="0"/>
              <w:rPr>
                <w:sz w:val="1"/>
                <w:szCs w:val="1"/>
                <w:color w:val="auto"/>
              </w:rPr>
            </w:pPr>
          </w:p>
        </w:tc>
      </w:tr>
      <w:tr>
        <w:trPr>
          <w:trHeight w:val="250"/>
        </w:trPr>
        <w:tc>
          <w:tcPr>
            <w:tcW w:w="808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Total equity</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2,075,865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2,088,273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Total liabilities and equity</w:t>
            </w:r>
          </w:p>
        </w:tc>
        <w:tc>
          <w:tcPr>
            <w:tcW w:w="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4,262,555</w:t>
            </w:r>
          </w:p>
        </w:tc>
        <w:tc>
          <w:tcPr>
            <w:tcW w:w="120" w:type="dxa"/>
            <w:vAlign w:val="bottom"/>
          </w:tcPr>
          <w:p>
            <w:pPr>
              <w:spacing w:after="0"/>
              <w:rPr>
                <w:sz w:val="21"/>
                <w:szCs w:val="21"/>
                <w:color w:val="auto"/>
              </w:rPr>
            </w:pPr>
          </w:p>
        </w:tc>
        <w:tc>
          <w:tcPr>
            <w:tcW w:w="5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4,234,160</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0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00" w:type="dxa"/>
            <w:vAlign w:val="bottom"/>
          </w:tcPr>
          <w:p>
            <w:pPr>
              <w:spacing w:after="0"/>
              <w:rPr>
                <w:sz w:val="20"/>
                <w:szCs w:val="20"/>
                <w:color w:val="auto"/>
              </w:rPr>
            </w:pPr>
            <w:r>
              <w:rPr>
                <w:rFonts w:ascii="Times New Roman" w:cs="Times New Roman" w:eastAsia="Times New Roman" w:hAnsi="Times New Roman"/>
                <w:sz w:val="22"/>
                <w:szCs w:val="22"/>
                <w:color w:val="auto"/>
              </w:rPr>
              <w:t>VISHAY INTERTECHNOLOGY, INC.</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Consolidated Condensed Statements of Cash Flows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8400" w:type="dxa"/>
            <w:vAlign w:val="bottom"/>
          </w:tcPr>
          <w:p>
            <w:pPr>
              <w:spacing w:after="0"/>
              <w:rPr>
                <w:sz w:val="20"/>
                <w:szCs w:val="20"/>
                <w:color w:val="auto"/>
              </w:rPr>
            </w:pPr>
            <w:r>
              <w:rPr>
                <w:rFonts w:ascii="Times New Roman" w:cs="Times New Roman" w:eastAsia="Times New Roman" w:hAnsi="Times New Roman"/>
                <w:sz w:val="22"/>
                <w:szCs w:val="22"/>
                <w:color w:val="auto"/>
              </w:rPr>
              <w:t>(Unaudited - In thousands)</w:t>
            </w:r>
          </w:p>
        </w:tc>
        <w:tc>
          <w:tcPr>
            <w:tcW w:w="160" w:type="dxa"/>
            <w:vAlign w:val="bottom"/>
          </w:tcPr>
          <w:p>
            <w:pPr>
              <w:spacing w:after="0"/>
              <w:rPr>
                <w:sz w:val="24"/>
                <w:szCs w:val="24"/>
                <w:color w:val="auto"/>
              </w:rPr>
            </w:pPr>
          </w:p>
        </w:tc>
        <w:tc>
          <w:tcPr>
            <w:tcW w:w="2680" w:type="dxa"/>
            <w:vAlign w:val="bottom"/>
            <w:gridSpan w:val="5"/>
            <w:vMerge w:val="restart"/>
          </w:tcPr>
          <w:p>
            <w:pPr>
              <w:jc w:val="right"/>
              <w:ind w:right="320"/>
              <w:spacing w:after="0"/>
              <w:rPr>
                <w:sz w:val="20"/>
                <w:szCs w:val="20"/>
                <w:color w:val="auto"/>
              </w:rPr>
            </w:pPr>
            <w:r>
              <w:rPr>
                <w:rFonts w:ascii="Times New Roman" w:cs="Times New Roman" w:eastAsia="Times New Roman" w:hAnsi="Times New Roman"/>
                <w:sz w:val="22"/>
                <w:szCs w:val="22"/>
                <w:color w:val="auto"/>
              </w:rPr>
              <w:t>Three fiscal months ended</w:t>
            </w:r>
          </w:p>
        </w:tc>
        <w:tc>
          <w:tcPr>
            <w:tcW w:w="0" w:type="dxa"/>
            <w:vAlign w:val="bottom"/>
          </w:tcPr>
          <w:p>
            <w:pPr>
              <w:spacing w:after="0"/>
              <w:rPr>
                <w:sz w:val="1"/>
                <w:szCs w:val="1"/>
                <w:color w:val="auto"/>
              </w:rPr>
            </w:pPr>
          </w:p>
        </w:tc>
      </w:tr>
      <w:tr>
        <w:trPr>
          <w:trHeight w:val="204"/>
        </w:trPr>
        <w:tc>
          <w:tcPr>
            <w:tcW w:w="8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Operating activities</w:t>
            </w:r>
          </w:p>
        </w:tc>
        <w:tc>
          <w:tcPr>
            <w:tcW w:w="1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April 4, 2026</w:t>
            </w:r>
          </w:p>
        </w:tc>
        <w:tc>
          <w:tcPr>
            <w:tcW w:w="1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March 29, 2025</w:t>
            </w:r>
          </w:p>
        </w:tc>
        <w:tc>
          <w:tcPr>
            <w:tcW w:w="0" w:type="dxa"/>
            <w:vAlign w:val="bottom"/>
          </w:tcPr>
          <w:p>
            <w:pPr>
              <w:spacing w:after="0"/>
              <w:rPr>
                <w:sz w:val="1"/>
                <w:szCs w:val="1"/>
                <w:color w:val="auto"/>
              </w:rPr>
            </w:pPr>
          </w:p>
        </w:tc>
      </w:tr>
      <w:tr>
        <w:trPr>
          <w:trHeight w:val="243"/>
        </w:trPr>
        <w:tc>
          <w:tcPr>
            <w:tcW w:w="8400" w:type="dxa"/>
            <w:vAlign w:val="bottom"/>
            <w:vMerge w:val="continue"/>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earnings (loss)</w:t>
            </w:r>
          </w:p>
        </w:tc>
        <w:tc>
          <w:tcPr>
            <w:tcW w:w="1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7,164</w:t>
            </w:r>
          </w:p>
        </w:tc>
        <w:tc>
          <w:tcPr>
            <w:tcW w:w="20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(4,092)</w:t>
            </w:r>
          </w:p>
        </w:tc>
        <w:tc>
          <w:tcPr>
            <w:tcW w:w="0" w:type="dxa"/>
            <w:vAlign w:val="bottom"/>
          </w:tcPr>
          <w:p>
            <w:pPr>
              <w:spacing w:after="0"/>
              <w:rPr>
                <w:sz w:val="1"/>
                <w:szCs w:val="1"/>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Adjustments to reconcile net earnings (loss) to net cash provided by operating activities: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340"/>
              <w:spacing w:after="0" w:line="243" w:lineRule="exact"/>
              <w:rPr>
                <w:sz w:val="20"/>
                <w:szCs w:val="20"/>
                <w:color w:val="auto"/>
              </w:rPr>
            </w:pPr>
            <w:r>
              <w:rPr>
                <w:rFonts w:ascii="Times New Roman" w:cs="Times New Roman" w:eastAsia="Times New Roman" w:hAnsi="Times New Roman"/>
                <w:sz w:val="22"/>
                <w:szCs w:val="22"/>
                <w:color w:val="auto"/>
              </w:rPr>
              <w:t>Depreciation and amortization</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58,211</w:t>
            </w:r>
          </w:p>
        </w:tc>
        <w:tc>
          <w:tcPr>
            <w:tcW w:w="20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53,773</w:t>
            </w:r>
          </w:p>
        </w:tc>
        <w:tc>
          <w:tcPr>
            <w:tcW w:w="0" w:type="dxa"/>
            <w:vAlign w:val="bottom"/>
          </w:tcPr>
          <w:p>
            <w:pPr>
              <w:spacing w:after="0"/>
              <w:rPr>
                <w:sz w:val="1"/>
                <w:szCs w:val="1"/>
                <w:color w:val="auto"/>
              </w:rPr>
            </w:pPr>
          </w:p>
        </w:tc>
      </w:tr>
      <w:tr>
        <w:trPr>
          <w:trHeight w:val="243"/>
        </w:trPr>
        <w:tc>
          <w:tcPr>
            <w:tcW w:w="8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(Gain) loss on disposal of property and equipment</w:t>
            </w:r>
          </w:p>
        </w:tc>
        <w:tc>
          <w:tcPr>
            <w:tcW w:w="16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(41)</w:t>
            </w:r>
          </w:p>
        </w:tc>
        <w:tc>
          <w:tcPr>
            <w:tcW w:w="40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189</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340"/>
              <w:spacing w:after="0" w:line="243" w:lineRule="exact"/>
              <w:rPr>
                <w:sz w:val="20"/>
                <w:szCs w:val="20"/>
                <w:color w:val="auto"/>
              </w:rPr>
            </w:pPr>
            <w:r>
              <w:rPr>
                <w:rFonts w:ascii="Times New Roman" w:cs="Times New Roman" w:eastAsia="Times New Roman" w:hAnsi="Times New Roman"/>
                <w:sz w:val="22"/>
                <w:szCs w:val="22"/>
                <w:color w:val="auto"/>
              </w:rPr>
              <w:t>Inventory write-offs for obsolescence</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11,065</w:t>
            </w:r>
          </w:p>
        </w:tc>
        <w:tc>
          <w:tcPr>
            <w:tcW w:w="20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9,030</w:t>
            </w:r>
          </w:p>
        </w:tc>
        <w:tc>
          <w:tcPr>
            <w:tcW w:w="0" w:type="dxa"/>
            <w:vAlign w:val="bottom"/>
          </w:tcPr>
          <w:p>
            <w:pPr>
              <w:spacing w:after="0"/>
              <w:rPr>
                <w:sz w:val="1"/>
                <w:szCs w:val="1"/>
                <w:color w:val="auto"/>
              </w:rPr>
            </w:pPr>
          </w:p>
        </w:tc>
      </w:tr>
      <w:tr>
        <w:trPr>
          <w:trHeight w:val="243"/>
        </w:trPr>
        <w:tc>
          <w:tcPr>
            <w:tcW w:w="8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Deferred income taxes</w:t>
            </w:r>
          </w:p>
        </w:tc>
        <w:tc>
          <w:tcPr>
            <w:tcW w:w="1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541</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1,573</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340"/>
              <w:spacing w:after="0" w:line="243" w:lineRule="exact"/>
              <w:rPr>
                <w:sz w:val="20"/>
                <w:szCs w:val="20"/>
                <w:color w:val="auto"/>
              </w:rPr>
            </w:pPr>
            <w:r>
              <w:rPr>
                <w:rFonts w:ascii="Times New Roman" w:cs="Times New Roman" w:eastAsia="Times New Roman" w:hAnsi="Times New Roman"/>
                <w:sz w:val="22"/>
                <w:szCs w:val="22"/>
                <w:color w:val="auto"/>
              </w:rPr>
              <w:t>Stock compensation expense</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12,273</w:t>
            </w:r>
          </w:p>
        </w:tc>
        <w:tc>
          <w:tcPr>
            <w:tcW w:w="20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6,051</w:t>
            </w:r>
          </w:p>
        </w:tc>
        <w:tc>
          <w:tcPr>
            <w:tcW w:w="0" w:type="dxa"/>
            <w:vAlign w:val="bottom"/>
          </w:tcPr>
          <w:p>
            <w:pPr>
              <w:spacing w:after="0"/>
              <w:rPr>
                <w:sz w:val="1"/>
                <w:szCs w:val="1"/>
                <w:color w:val="auto"/>
              </w:rPr>
            </w:pPr>
          </w:p>
        </w:tc>
      </w:tr>
      <w:tr>
        <w:trPr>
          <w:trHeight w:val="243"/>
        </w:trPr>
        <w:tc>
          <w:tcPr>
            <w:tcW w:w="8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6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(1,476)</w:t>
            </w:r>
          </w:p>
        </w:tc>
        <w:tc>
          <w:tcPr>
            <w:tcW w:w="40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(1,380)</w:t>
            </w:r>
          </w:p>
        </w:tc>
        <w:tc>
          <w:tcPr>
            <w:tcW w:w="0" w:type="dxa"/>
            <w:vAlign w:val="bottom"/>
          </w:tcPr>
          <w:p>
            <w:pPr>
              <w:spacing w:after="0"/>
              <w:rPr>
                <w:sz w:val="1"/>
                <w:szCs w:val="1"/>
                <w:color w:val="auto"/>
              </w:rPr>
            </w:pPr>
          </w:p>
        </w:tc>
      </w:tr>
      <w:tr>
        <w:trPr>
          <w:trHeight w:val="250"/>
        </w:trPr>
        <w:tc>
          <w:tcPr>
            <w:tcW w:w="8400" w:type="dxa"/>
            <w:vAlign w:val="bottom"/>
            <w:shd w:val="clear" w:color="auto" w:fill="CCEEFF"/>
          </w:tcPr>
          <w:p>
            <w:pPr>
              <w:ind w:left="340"/>
              <w:spacing w:after="0" w:line="243" w:lineRule="exact"/>
              <w:rPr>
                <w:sz w:val="20"/>
                <w:szCs w:val="20"/>
                <w:color w:val="auto"/>
              </w:rPr>
            </w:pPr>
            <w:r>
              <w:rPr>
                <w:rFonts w:ascii="Times New Roman" w:cs="Times New Roman" w:eastAsia="Times New Roman" w:hAnsi="Times New Roman"/>
                <w:sz w:val="22"/>
                <w:szCs w:val="22"/>
                <w:color w:val="auto"/>
              </w:rPr>
              <w:t>Changes in operating assets and liabilities</w:t>
            </w:r>
          </w:p>
        </w:tc>
        <w:tc>
          <w:tcPr>
            <w:tcW w:w="16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(24,068)</w:t>
            </w:r>
          </w:p>
        </w:tc>
        <w:tc>
          <w:tcPr>
            <w:tcW w:w="4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(49,046)</w:t>
            </w:r>
          </w:p>
        </w:tc>
        <w:tc>
          <w:tcPr>
            <w:tcW w:w="0" w:type="dxa"/>
            <w:vAlign w:val="bottom"/>
          </w:tcPr>
          <w:p>
            <w:pPr>
              <w:spacing w:after="0"/>
              <w:rPr>
                <w:sz w:val="1"/>
                <w:szCs w:val="1"/>
                <w:color w:val="auto"/>
              </w:rPr>
            </w:pPr>
          </w:p>
        </w:tc>
      </w:tr>
      <w:tr>
        <w:trPr>
          <w:trHeight w:val="243"/>
        </w:trPr>
        <w:tc>
          <w:tcPr>
            <w:tcW w:w="8400" w:type="dxa"/>
            <w:vAlign w:val="bottom"/>
            <w:tcBorders>
              <w:top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Net cash provided by operating activities</w:t>
            </w: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63,669</w:t>
            </w:r>
          </w:p>
        </w:tc>
        <w:tc>
          <w:tcPr>
            <w:tcW w:w="200" w:type="dxa"/>
            <w:vAlign w:val="bottom"/>
            <w:tcBorders>
              <w:top w:val="single" w:sz="8" w:color="CCEEFF"/>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16,098</w:t>
            </w: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Investing activities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Capital expenditures</w:t>
            </w:r>
          </w:p>
        </w:tc>
        <w:tc>
          <w:tcPr>
            <w:tcW w:w="16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(110,661)</w:t>
            </w:r>
          </w:p>
        </w:tc>
        <w:tc>
          <w:tcPr>
            <w:tcW w:w="4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(61,569)</w:t>
            </w:r>
          </w:p>
        </w:tc>
        <w:tc>
          <w:tcPr>
            <w:tcW w:w="0" w:type="dxa"/>
            <w:vAlign w:val="bottom"/>
          </w:tcPr>
          <w:p>
            <w:pPr>
              <w:spacing w:after="0"/>
              <w:rPr>
                <w:sz w:val="1"/>
                <w:szCs w:val="1"/>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Proceeds from sale of property and equipment</w:t>
            </w:r>
          </w:p>
        </w:tc>
        <w:tc>
          <w:tcPr>
            <w:tcW w:w="1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279</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Purchase of short-term investments</w:t>
            </w:r>
          </w:p>
        </w:tc>
        <w:tc>
          <w:tcPr>
            <w:tcW w:w="16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(126)</w:t>
            </w:r>
          </w:p>
        </w:tc>
        <w:tc>
          <w:tcPr>
            <w:tcW w:w="4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(21,899)</w:t>
            </w:r>
          </w:p>
        </w:tc>
        <w:tc>
          <w:tcPr>
            <w:tcW w:w="0" w:type="dxa"/>
            <w:vAlign w:val="bottom"/>
          </w:tcPr>
          <w:p>
            <w:pPr>
              <w:spacing w:after="0"/>
              <w:rPr>
                <w:sz w:val="1"/>
                <w:szCs w:val="1"/>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Maturity of short-term investments</w:t>
            </w:r>
          </w:p>
        </w:tc>
        <w:tc>
          <w:tcPr>
            <w:tcW w:w="1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198</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27,832</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Other investing activities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396</w:t>
            </w:r>
          </w:p>
        </w:tc>
        <w:tc>
          <w:tcPr>
            <w:tcW w:w="20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(661)</w:t>
            </w:r>
          </w:p>
        </w:tc>
        <w:tc>
          <w:tcPr>
            <w:tcW w:w="0" w:type="dxa"/>
            <w:vAlign w:val="bottom"/>
          </w:tcPr>
          <w:p>
            <w:pPr>
              <w:spacing w:after="0"/>
              <w:rPr>
                <w:sz w:val="1"/>
                <w:szCs w:val="1"/>
                <w:color w:val="auto"/>
              </w:rPr>
            </w:pPr>
          </w:p>
        </w:tc>
      </w:tr>
      <w:tr>
        <w:trPr>
          <w:trHeight w:val="27"/>
        </w:trPr>
        <w:tc>
          <w:tcPr>
            <w:tcW w:w="84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cash used in investing activities</w:t>
            </w:r>
          </w:p>
        </w:tc>
        <w:tc>
          <w:tcPr>
            <w:tcW w:w="16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(110,127)</w:t>
            </w:r>
          </w:p>
        </w:tc>
        <w:tc>
          <w:tcPr>
            <w:tcW w:w="40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(56,018)</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Financing activities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proceeds on revolving credit facility</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31,000</w:t>
            </w:r>
          </w:p>
        </w:tc>
        <w:tc>
          <w:tcPr>
            <w:tcW w:w="20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82,000</w:t>
            </w:r>
          </w:p>
        </w:tc>
        <w:tc>
          <w:tcPr>
            <w:tcW w:w="0" w:type="dxa"/>
            <w:vAlign w:val="bottom"/>
          </w:tcPr>
          <w:p>
            <w:pPr>
              <w:spacing w:after="0"/>
              <w:rPr>
                <w:sz w:val="1"/>
                <w:szCs w:val="1"/>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Dividends paid to common stockholders</w:t>
            </w:r>
          </w:p>
        </w:tc>
        <w:tc>
          <w:tcPr>
            <w:tcW w:w="16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(12,401)</w:t>
            </w:r>
          </w:p>
        </w:tc>
        <w:tc>
          <w:tcPr>
            <w:tcW w:w="40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(12,352)</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Dividends paid to Class B common stockholders</w:t>
            </w:r>
          </w:p>
        </w:tc>
        <w:tc>
          <w:tcPr>
            <w:tcW w:w="16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(1,210)</w:t>
            </w:r>
          </w:p>
        </w:tc>
        <w:tc>
          <w:tcPr>
            <w:tcW w:w="4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(1,210)</w:t>
            </w:r>
          </w:p>
        </w:tc>
        <w:tc>
          <w:tcPr>
            <w:tcW w:w="0" w:type="dxa"/>
            <w:vAlign w:val="bottom"/>
          </w:tcPr>
          <w:p>
            <w:pPr>
              <w:spacing w:after="0"/>
              <w:rPr>
                <w:sz w:val="1"/>
                <w:szCs w:val="1"/>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Repurchase of common stock</w:t>
            </w:r>
          </w:p>
        </w:tc>
        <w:tc>
          <w:tcPr>
            <w:tcW w:w="1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(12,538)</w:t>
            </w:r>
          </w:p>
        </w:tc>
        <w:tc>
          <w:tcPr>
            <w:tcW w:w="0" w:type="dxa"/>
            <w:vAlign w:val="bottom"/>
          </w:tcPr>
          <w:p>
            <w:pPr>
              <w:spacing w:after="0"/>
              <w:rPr>
                <w:sz w:val="1"/>
                <w:szCs w:val="1"/>
                <w:color w:val="auto"/>
              </w:rPr>
            </w:pPr>
          </w:p>
        </w:tc>
      </w:tr>
      <w:tr>
        <w:trPr>
          <w:trHeight w:val="250"/>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Cash withholding taxes paid when shares withheld for vested equity awards</w:t>
            </w:r>
          </w:p>
        </w:tc>
        <w:tc>
          <w:tcPr>
            <w:tcW w:w="16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(3,861)</w:t>
            </w:r>
          </w:p>
        </w:tc>
        <w:tc>
          <w:tcPr>
            <w:tcW w:w="4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(3,893)</w:t>
            </w:r>
          </w:p>
        </w:tc>
        <w:tc>
          <w:tcPr>
            <w:tcW w:w="0" w:type="dxa"/>
            <w:vAlign w:val="bottom"/>
          </w:tcPr>
          <w:p>
            <w:pPr>
              <w:spacing w:after="0"/>
              <w:rPr>
                <w:sz w:val="1"/>
                <w:szCs w:val="1"/>
                <w:color w:val="auto"/>
              </w:rPr>
            </w:pPr>
          </w:p>
        </w:tc>
      </w:tr>
      <w:tr>
        <w:trPr>
          <w:trHeight w:val="243"/>
        </w:trPr>
        <w:tc>
          <w:tcPr>
            <w:tcW w:w="8400" w:type="dxa"/>
            <w:vAlign w:val="bottom"/>
            <w:tcBorders>
              <w:top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Net cash provided by financing activities</w:t>
            </w: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13,528</w:t>
            </w:r>
          </w:p>
        </w:tc>
        <w:tc>
          <w:tcPr>
            <w:tcW w:w="200" w:type="dxa"/>
            <w:vAlign w:val="bottom"/>
            <w:tcBorders>
              <w:top w:val="single" w:sz="8" w:color="CCEEFF"/>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52,007</w:t>
            </w: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Effect of exchange rate changes on cash and cash equivalents</w:t>
            </w:r>
          </w:p>
        </w:tc>
        <w:tc>
          <w:tcPr>
            <w:tcW w:w="16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(2,679)</w:t>
            </w:r>
          </w:p>
        </w:tc>
        <w:tc>
          <w:tcPr>
            <w:tcW w:w="4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7,029</w:t>
            </w:r>
          </w:p>
        </w:tc>
        <w:tc>
          <w:tcPr>
            <w:tcW w:w="0" w:type="dxa"/>
            <w:vAlign w:val="bottom"/>
          </w:tcPr>
          <w:p>
            <w:pPr>
              <w:spacing w:after="0"/>
              <w:rPr>
                <w:sz w:val="1"/>
                <w:szCs w:val="1"/>
                <w:color w:val="auto"/>
              </w:rPr>
            </w:pPr>
          </w:p>
        </w:tc>
      </w:tr>
      <w:tr>
        <w:trPr>
          <w:trHeight w:val="243"/>
        </w:trPr>
        <w:tc>
          <w:tcPr>
            <w:tcW w:w="84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increase (decrease) in cash and cash equivalents</w:t>
            </w:r>
          </w:p>
        </w:tc>
        <w:tc>
          <w:tcPr>
            <w:tcW w:w="16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(35,609)</w:t>
            </w:r>
          </w:p>
        </w:tc>
        <w:tc>
          <w:tcPr>
            <w:tcW w:w="4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19,116</w:t>
            </w:r>
          </w:p>
        </w:tc>
        <w:tc>
          <w:tcPr>
            <w:tcW w:w="0" w:type="dxa"/>
            <w:vAlign w:val="bottom"/>
          </w:tcPr>
          <w:p>
            <w:pPr>
              <w:spacing w:after="0"/>
              <w:rPr>
                <w:sz w:val="1"/>
                <w:szCs w:val="1"/>
                <w:color w:val="auto"/>
              </w:rPr>
            </w:pPr>
          </w:p>
        </w:tc>
      </w:tr>
      <w:tr>
        <w:trPr>
          <w:trHeight w:val="243"/>
        </w:trPr>
        <w:tc>
          <w:tcPr>
            <w:tcW w:w="8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Cash and cash equivalents at beginning of period</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514,966</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590,286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Cash and cash equivalents at end of period</w:t>
            </w:r>
          </w:p>
        </w:tc>
        <w:tc>
          <w:tcPr>
            <w:tcW w:w="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479,357</w:t>
            </w:r>
          </w:p>
        </w:tc>
        <w:tc>
          <w:tcPr>
            <w:tcW w:w="200" w:type="dxa"/>
            <w:vAlign w:val="bottom"/>
          </w:tcPr>
          <w:p>
            <w:pPr>
              <w:spacing w:after="0"/>
              <w:rPr>
                <w:sz w:val="21"/>
                <w:szCs w:val="21"/>
                <w:color w:val="auto"/>
              </w:rPr>
            </w:pPr>
          </w:p>
        </w:tc>
        <w:tc>
          <w:tcPr>
            <w:tcW w:w="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609,402</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8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VISHAY INTERTECHNOLOGY,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Reconciliation of Free Cash</w:t>
      </w:r>
    </w:p>
    <w:p>
      <w:pPr>
        <w:spacing w:after="0" w:line="230" w:lineRule="auto"/>
        <w:rPr>
          <w:sz w:val="20"/>
          <w:szCs w:val="20"/>
          <w:color w:val="auto"/>
        </w:rPr>
      </w:pPr>
      <w:r>
        <w:rPr>
          <w:rFonts w:ascii="Times New Roman" w:cs="Times New Roman" w:eastAsia="Times New Roman" w:hAnsi="Times New Roman"/>
          <w:sz w:val="22"/>
          <w:szCs w:val="22"/>
          <w:color w:val="auto"/>
        </w:rPr>
        <w:t>(Unaudited - In thousands)</w:t>
      </w:r>
    </w:p>
    <w:tbl>
      <w:tblPr>
        <w:tblLayout w:type="fixed"/>
        <w:tblInd w:w="0" w:type="dxa"/>
        <w:tblCellMar>
          <w:top w:w="0" w:type="dxa"/>
          <w:left w:w="0" w:type="dxa"/>
          <w:bottom w:w="0" w:type="dxa"/>
          <w:right w:w="0" w:type="dxa"/>
        </w:tblCellMar>
      </w:tblPr>
      <w:tr>
        <w:trPr>
          <w:trHeight w:val="254"/>
        </w:trPr>
        <w:tc>
          <w:tcPr>
            <w:tcW w:w="65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ind w:left="40"/>
              <w:spacing w:after="0" w:line="247" w:lineRule="exact"/>
              <w:rPr>
                <w:sz w:val="20"/>
                <w:szCs w:val="20"/>
                <w:color w:val="auto"/>
              </w:rPr>
            </w:pPr>
            <w:r>
              <w:rPr>
                <w:rFonts w:ascii="Times New Roman" w:cs="Times New Roman" w:eastAsia="Times New Roman" w:hAnsi="Times New Roman"/>
                <w:sz w:val="22"/>
                <w:szCs w:val="22"/>
                <w:color w:val="auto"/>
                <w:w w:val="98"/>
              </w:rPr>
              <w:t>Fiscal quarters ended</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6520" w:type="dxa"/>
            <w:vAlign w:val="bottom"/>
          </w:tcPr>
          <w:p>
            <w:pPr>
              <w:spacing w:after="0"/>
              <w:rPr>
                <w:sz w:val="21"/>
                <w:szCs w:val="21"/>
                <w:color w:val="auto"/>
              </w:rPr>
            </w:pPr>
          </w:p>
        </w:tc>
        <w:tc>
          <w:tcPr>
            <w:tcW w:w="1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April 4, 2026</w:t>
            </w:r>
          </w:p>
        </w:tc>
        <w:tc>
          <w:tcPr>
            <w:tcW w:w="19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December 31, 2025</w:t>
            </w:r>
          </w:p>
        </w:tc>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7"/>
              </w:rPr>
              <w:t>March 29, 2025</w:t>
            </w:r>
          </w:p>
        </w:tc>
        <w:tc>
          <w:tcPr>
            <w:tcW w:w="100" w:type="dxa"/>
            <w:vAlign w:val="bottom"/>
          </w:tcPr>
          <w:p>
            <w:pPr>
              <w:spacing w:after="0"/>
              <w:rPr>
                <w:sz w:val="21"/>
                <w:szCs w:val="21"/>
                <w:color w:val="auto"/>
              </w:rPr>
            </w:pPr>
          </w:p>
        </w:tc>
      </w:tr>
      <w:tr>
        <w:trPr>
          <w:trHeight w:val="243"/>
        </w:trPr>
        <w:tc>
          <w:tcPr>
            <w:tcW w:w="6520" w:type="dxa"/>
            <w:vAlign w:val="bottom"/>
            <w:tcBorders>
              <w:righ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cash provided by operating activities</w:t>
            </w:r>
          </w:p>
        </w:tc>
        <w:tc>
          <w:tcPr>
            <w:tcW w:w="22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63,669</w:t>
            </w:r>
          </w:p>
        </w:tc>
        <w:tc>
          <w:tcPr>
            <w:tcW w:w="220" w:type="dxa"/>
            <w:vAlign w:val="bottom"/>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149,362</w:t>
            </w:r>
          </w:p>
        </w:tc>
        <w:tc>
          <w:tcPr>
            <w:tcW w:w="200" w:type="dxa"/>
            <w:vAlign w:val="bottom"/>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16,098</w:t>
            </w:r>
          </w:p>
        </w:tc>
        <w:tc>
          <w:tcPr>
            <w:tcW w:w="100" w:type="dxa"/>
            <w:vAlign w:val="bottom"/>
            <w:shd w:val="clear" w:color="auto" w:fill="CCEEFF"/>
          </w:tcPr>
          <w:p>
            <w:pPr>
              <w:spacing w:after="0"/>
              <w:rPr>
                <w:sz w:val="21"/>
                <w:szCs w:val="21"/>
                <w:color w:val="auto"/>
              </w:rPr>
            </w:pPr>
          </w:p>
        </w:tc>
      </w:tr>
      <w:tr>
        <w:trPr>
          <w:trHeight w:val="243"/>
        </w:trPr>
        <w:tc>
          <w:tcPr>
            <w:tcW w:w="6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Proceeds from sale of property and equipment</w:t>
            </w:r>
          </w:p>
        </w:tc>
        <w:tc>
          <w:tcPr>
            <w:tcW w:w="2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308</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279</w:t>
            </w:r>
          </w:p>
        </w:tc>
      </w:tr>
      <w:tr>
        <w:trPr>
          <w:trHeight w:val="243"/>
        </w:trPr>
        <w:tc>
          <w:tcPr>
            <w:tcW w:w="6520" w:type="dxa"/>
            <w:vAlign w:val="bottom"/>
            <w:tcBorders>
              <w:righ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Less: Capital expenditures</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(110,661)</w:t>
            </w:r>
          </w:p>
        </w:tc>
        <w:tc>
          <w:tcPr>
            <w:tcW w:w="5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(94,802)</w:t>
            </w:r>
          </w:p>
        </w:tc>
        <w:tc>
          <w:tcPr>
            <w:tcW w:w="4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(61,569)</w:t>
            </w:r>
          </w:p>
        </w:tc>
      </w:tr>
      <w:tr>
        <w:trPr>
          <w:trHeight w:val="27"/>
        </w:trPr>
        <w:tc>
          <w:tcPr>
            <w:tcW w:w="65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6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Free cash</w:t>
            </w:r>
          </w:p>
        </w:tc>
        <w:tc>
          <w:tcPr>
            <w:tcW w:w="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(46,926)</w:t>
            </w:r>
          </w:p>
        </w:tc>
        <w:tc>
          <w:tcPr>
            <w:tcW w:w="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54,868</w:t>
            </w:r>
          </w:p>
        </w:tc>
        <w:tc>
          <w:tcPr>
            <w:tcW w:w="200" w:type="dxa"/>
            <w:vAlign w:val="bottom"/>
          </w:tcPr>
          <w:p>
            <w:pPr>
              <w:spacing w:after="0"/>
              <w:rPr>
                <w:sz w:val="21"/>
                <w:szCs w:val="21"/>
                <w:color w:val="auto"/>
              </w:rPr>
            </w:pPr>
          </w:p>
        </w:tc>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(45,192)</w:t>
            </w:r>
          </w:p>
        </w:tc>
      </w:tr>
      <w:tr>
        <w:trPr>
          <w:trHeight w:val="21"/>
        </w:trPr>
        <w:tc>
          <w:tcPr>
            <w:tcW w:w="6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6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VISHAY INTERTECHNOLOGY,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Reconciliation of EBITDA</w:t>
      </w:r>
    </w:p>
    <w:p>
      <w:pPr>
        <w:spacing w:after="0" w:line="230" w:lineRule="auto"/>
        <w:rPr>
          <w:sz w:val="20"/>
          <w:szCs w:val="20"/>
          <w:color w:val="auto"/>
        </w:rPr>
      </w:pPr>
      <w:r>
        <w:rPr>
          <w:rFonts w:ascii="Times New Roman" w:cs="Times New Roman" w:eastAsia="Times New Roman" w:hAnsi="Times New Roman"/>
          <w:sz w:val="22"/>
          <w:szCs w:val="22"/>
          <w:color w:val="auto"/>
        </w:rPr>
        <w:t>(Unaudited - In thousands)</w:t>
      </w:r>
    </w:p>
    <w:tbl>
      <w:tblPr>
        <w:tblLayout w:type="fixed"/>
        <w:tblInd w:w="0" w:type="dxa"/>
        <w:tblCellMar>
          <w:top w:w="0" w:type="dxa"/>
          <w:left w:w="0" w:type="dxa"/>
          <w:bottom w:w="0" w:type="dxa"/>
          <w:right w:w="0" w:type="dxa"/>
        </w:tblCellMar>
      </w:tblPr>
      <w:tr>
        <w:trPr>
          <w:trHeight w:val="254"/>
        </w:trPr>
        <w:tc>
          <w:tcPr>
            <w:tcW w:w="6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ind w:left="40"/>
              <w:spacing w:after="0" w:line="247" w:lineRule="exact"/>
              <w:rPr>
                <w:sz w:val="20"/>
                <w:szCs w:val="20"/>
                <w:color w:val="auto"/>
              </w:rPr>
            </w:pPr>
            <w:r>
              <w:rPr>
                <w:rFonts w:ascii="Times New Roman" w:cs="Times New Roman" w:eastAsia="Times New Roman" w:hAnsi="Times New Roman"/>
                <w:sz w:val="22"/>
                <w:szCs w:val="22"/>
                <w:color w:val="auto"/>
              </w:rPr>
              <w:t>Fiscal quarters ended</w:t>
            </w:r>
          </w:p>
        </w:tc>
        <w:tc>
          <w:tcPr>
            <w:tcW w:w="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50"/>
        </w:trPr>
        <w:tc>
          <w:tcPr>
            <w:tcW w:w="6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April 4, 2026</w:t>
            </w:r>
          </w:p>
        </w:tc>
        <w:tc>
          <w:tcPr>
            <w:tcW w:w="19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December 31, 2025</w:t>
            </w:r>
          </w:p>
        </w:tc>
        <w:tc>
          <w:tcPr>
            <w:tcW w:w="14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w w:val="97"/>
              </w:rPr>
              <w:t>March 29, 2025</w:t>
            </w:r>
          </w:p>
        </w:tc>
        <w:tc>
          <w:tcPr>
            <w:tcW w:w="180" w:type="dxa"/>
            <w:vAlign w:val="bottom"/>
          </w:tcPr>
          <w:p>
            <w:pPr>
              <w:spacing w:after="0"/>
              <w:rPr>
                <w:sz w:val="21"/>
                <w:szCs w:val="21"/>
                <w:color w:val="auto"/>
              </w:rPr>
            </w:pPr>
          </w:p>
        </w:tc>
      </w:tr>
      <w:tr>
        <w:trPr>
          <w:trHeight w:val="243"/>
        </w:trPr>
        <w:tc>
          <w:tcPr>
            <w:tcW w:w="6260" w:type="dxa"/>
            <w:vAlign w:val="bottom"/>
          </w:tcPr>
          <w:p>
            <w:pPr>
              <w:spacing w:after="0"/>
              <w:rPr>
                <w:sz w:val="21"/>
                <w:szCs w:val="21"/>
                <w:color w:val="auto"/>
              </w:rPr>
            </w:pPr>
          </w:p>
        </w:tc>
        <w:tc>
          <w:tcPr>
            <w:tcW w:w="320" w:type="dxa"/>
            <w:vAlign w:val="bottom"/>
            <w:tcBorders>
              <w:top w:val="single" w:sz="8" w:color="auto"/>
            </w:tcBorders>
            <w:gridSpan w:val="2"/>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2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earnings (loss)</w:t>
            </w:r>
          </w:p>
        </w:tc>
        <w:tc>
          <w:tcPr>
            <w:tcW w:w="3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7,164</w:t>
            </w:r>
          </w:p>
        </w:tc>
        <w:tc>
          <w:tcPr>
            <w:tcW w:w="3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986</w:t>
            </w:r>
          </w:p>
        </w:tc>
        <w:tc>
          <w:tcPr>
            <w:tcW w:w="2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(4,092)</w:t>
            </w:r>
          </w:p>
        </w:tc>
      </w:tr>
      <w:tr>
        <w:trPr>
          <w:trHeight w:val="243"/>
        </w:trPr>
        <w:tc>
          <w:tcPr>
            <w:tcW w:w="626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1120" w:type="dxa"/>
            <w:vAlign w:val="bottom"/>
            <w:gridSpan w:val="2"/>
          </w:tcPr>
          <w:p>
            <w:pPr>
              <w:spacing w:after="0"/>
              <w:rPr>
                <w:sz w:val="21"/>
                <w:szCs w:val="21"/>
                <w:color w:val="auto"/>
              </w:rPr>
            </w:pPr>
          </w:p>
        </w:tc>
      </w:tr>
      <w:tr>
        <w:trPr>
          <w:trHeight w:val="243"/>
        </w:trPr>
        <w:tc>
          <w:tcPr>
            <w:tcW w:w="62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Interest expense</w:t>
            </w:r>
          </w:p>
        </w:tc>
        <w:tc>
          <w:tcPr>
            <w:tcW w:w="3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9,973</w:t>
            </w:r>
          </w:p>
        </w:tc>
        <w:tc>
          <w:tcPr>
            <w:tcW w:w="3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9,748</w:t>
            </w:r>
          </w:p>
        </w:tc>
        <w:tc>
          <w:tcPr>
            <w:tcW w:w="2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gridSpan w:val="2"/>
            <w:shd w:val="clear" w:color="auto" w:fill="CCEE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8,790</w:t>
            </w:r>
          </w:p>
        </w:tc>
      </w:tr>
      <w:tr>
        <w:trPr>
          <w:trHeight w:val="243"/>
        </w:trPr>
        <w:tc>
          <w:tcPr>
            <w:tcW w:w="6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Interest income</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(3,038)</w:t>
            </w:r>
          </w:p>
        </w:tc>
        <w:tc>
          <w:tcPr>
            <w:tcW w:w="600" w:type="dxa"/>
            <w:vAlign w:val="bottom"/>
          </w:tcPr>
          <w:p>
            <w:pPr>
              <w:spacing w:after="0"/>
              <w:rPr>
                <w:sz w:val="21"/>
                <w:szCs w:val="21"/>
                <w:color w:val="auto"/>
              </w:rPr>
            </w:pPr>
          </w:p>
        </w:tc>
        <w:tc>
          <w:tcPr>
            <w:tcW w:w="134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(2,753)</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(3,877)</w:t>
            </w:r>
          </w:p>
        </w:tc>
      </w:tr>
      <w:tr>
        <w:trPr>
          <w:trHeight w:val="243"/>
        </w:trPr>
        <w:tc>
          <w:tcPr>
            <w:tcW w:w="62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Income taxes</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5,688</w:t>
            </w:r>
          </w:p>
        </w:tc>
        <w:tc>
          <w:tcPr>
            <w:tcW w:w="3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4,591</w:t>
            </w: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(136)</w:t>
            </w:r>
          </w:p>
        </w:tc>
      </w:tr>
      <w:tr>
        <w:trPr>
          <w:trHeight w:val="250"/>
        </w:trPr>
        <w:tc>
          <w:tcPr>
            <w:tcW w:w="6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Depreciation and amortization</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58,211</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57,702</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53,773</w:t>
            </w:r>
          </w:p>
        </w:tc>
      </w:tr>
      <w:tr>
        <w:trPr>
          <w:trHeight w:val="284"/>
        </w:trPr>
        <w:tc>
          <w:tcPr>
            <w:tcW w:w="626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EBITDA</w:t>
            </w: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77,998</w:t>
            </w:r>
          </w:p>
        </w:tc>
        <w:tc>
          <w:tcPr>
            <w:tcW w:w="3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70,274</w:t>
            </w:r>
          </w:p>
        </w:tc>
        <w:tc>
          <w:tcPr>
            <w:tcW w:w="2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top w:val="single" w:sz="8" w:color="auto"/>
              <w:bottom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54,458</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236"/>
        </w:trPr>
        <w:tc>
          <w:tcPr>
            <w:tcW w:w="6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r>
      <w:tr>
        <w:trPr>
          <w:trHeight w:val="243"/>
        </w:trPr>
        <w:tc>
          <w:tcPr>
            <w:tcW w:w="62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EBITDA margin**</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9.3%</w:t>
            </w:r>
          </w:p>
        </w:tc>
        <w:tc>
          <w:tcPr>
            <w:tcW w:w="6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8.8%</w:t>
            </w: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r>
      <w:tr>
        <w:trPr>
          <w:trHeight w:val="498"/>
        </w:trPr>
        <w:tc>
          <w:tcPr>
            <w:tcW w:w="6260" w:type="dxa"/>
            <w:vAlign w:val="bottom"/>
          </w:tcPr>
          <w:p>
            <w:pPr>
              <w:spacing w:after="0"/>
              <w:rPr>
                <w:sz w:val="20"/>
                <w:szCs w:val="20"/>
                <w:color w:val="auto"/>
              </w:rPr>
            </w:pPr>
            <w:r>
              <w:rPr>
                <w:rFonts w:ascii="Times New Roman" w:cs="Times New Roman" w:eastAsia="Times New Roman" w:hAnsi="Times New Roman"/>
                <w:sz w:val="22"/>
                <w:szCs w:val="22"/>
                <w:color w:val="auto"/>
              </w:rPr>
              <w:t>** EBITDA as a percentage of net revenues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2026-05-13T06:33:09Z</dcterms:created>
  <dcterms:modified xsi:type="dcterms:W3CDTF">2026-05-13T06:33:09Z</dcterms:modified>
</cp:coreProperties>
</file>