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52"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u w:val="single" w:color="auto"/>
          <w:color w:val="auto"/>
        </w:rPr>
        <w:t>May 18, 2026</w:t>
      </w:r>
    </w:p>
    <w:p>
      <w:pPr>
        <w:spacing w:after="0" w:line="200" w:lineRule="exact"/>
        <w:rPr>
          <w:sz w:val="24"/>
          <w:szCs w:val="24"/>
          <w:color w:val="auto"/>
        </w:rPr>
      </w:pPr>
    </w:p>
    <w:p>
      <w:pPr>
        <w:spacing w:after="0" w:line="25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43"/>
          <w:szCs w:val="43"/>
          <w:b w:val="1"/>
          <w:bCs w:val="1"/>
          <w:color w:val="auto"/>
        </w:rPr>
        <w:t>Vishay Intertechnology, Inc.</w:t>
      </w:r>
    </w:p>
    <w:p>
      <w:pPr>
        <w:spacing w:after="0" w:line="29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77"/>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224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1-7416</w:t>
            </w:r>
          </w:p>
        </w:tc>
        <w:tc>
          <w:tcPr>
            <w:tcW w:w="416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9"/>
              </w:rPr>
              <w:t>38-1686453</w:t>
            </w:r>
          </w:p>
        </w:tc>
      </w:tr>
      <w:tr>
        <w:trPr>
          <w:trHeight w:val="216"/>
        </w:trPr>
        <w:tc>
          <w:tcPr>
            <w:tcW w:w="484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(State or Other Jurisdiction of Incorporation)</w:t>
            </w:r>
          </w:p>
        </w:tc>
        <w:tc>
          <w:tcPr>
            <w:tcW w:w="2240" w:type="dxa"/>
            <w:vAlign w:val="bottom"/>
          </w:tcPr>
          <w:p>
            <w:pPr>
              <w:jc w:val="right"/>
              <w:ind w:right="312"/>
              <w:spacing w:after="0" w:line="216" w:lineRule="exact"/>
              <w:rPr>
                <w:sz w:val="20"/>
                <w:szCs w:val="20"/>
                <w:color w:val="auto"/>
              </w:rPr>
            </w:pPr>
            <w:r>
              <w:rPr>
                <w:rFonts w:ascii="Times New Roman" w:cs="Times New Roman" w:eastAsia="Times New Roman" w:hAnsi="Times New Roman"/>
                <w:sz w:val="22"/>
                <w:szCs w:val="22"/>
                <w:color w:val="auto"/>
              </w:rPr>
              <w:t>(Commission File</w:t>
            </w:r>
          </w:p>
        </w:tc>
        <w:tc>
          <w:tcPr>
            <w:tcW w:w="4160" w:type="dxa"/>
            <w:vAlign w:val="bottom"/>
          </w:tcPr>
          <w:p>
            <w:pPr>
              <w:jc w:val="center"/>
              <w:ind w:left="112"/>
              <w:spacing w:after="0" w:line="216" w:lineRule="exact"/>
              <w:rPr>
                <w:sz w:val="20"/>
                <w:szCs w:val="20"/>
                <w:color w:val="auto"/>
              </w:rPr>
            </w:pPr>
            <w:r>
              <w:rPr>
                <w:rFonts w:ascii="Times New Roman" w:cs="Times New Roman" w:eastAsia="Times New Roman" w:hAnsi="Times New Roman"/>
                <w:sz w:val="22"/>
                <w:szCs w:val="22"/>
                <w:color w:val="auto"/>
                <w:w w:val="98"/>
              </w:rPr>
              <w:t>(I.R.S. Employer Identification Number)</w:t>
            </w:r>
          </w:p>
        </w:tc>
      </w:tr>
      <w:tr>
        <w:trPr>
          <w:trHeight w:val="282"/>
        </w:trPr>
        <w:tc>
          <w:tcPr>
            <w:tcW w:w="4840" w:type="dxa"/>
            <w:vAlign w:val="bottom"/>
          </w:tcPr>
          <w:p>
            <w:pPr>
              <w:spacing w:after="0"/>
              <w:rPr>
                <w:sz w:val="24"/>
                <w:szCs w:val="24"/>
                <w:color w:val="auto"/>
              </w:rPr>
            </w:pPr>
          </w:p>
        </w:tc>
        <w:tc>
          <w:tcPr>
            <w:tcW w:w="224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Number)</w:t>
            </w:r>
          </w:p>
        </w:tc>
        <w:tc>
          <w:tcPr>
            <w:tcW w:w="4160" w:type="dxa"/>
            <w:vAlign w:val="bottom"/>
          </w:tcPr>
          <w:p>
            <w:pPr>
              <w:spacing w:after="0"/>
              <w:rPr>
                <w:sz w:val="24"/>
                <w:szCs w:val="24"/>
                <w:color w:val="auto"/>
              </w:rPr>
            </w:pPr>
          </w:p>
        </w:tc>
      </w:tr>
      <w:tr>
        <w:trPr>
          <w:trHeight w:val="690"/>
        </w:trPr>
        <w:tc>
          <w:tcPr>
            <w:tcW w:w="4840" w:type="dxa"/>
            <w:vAlign w:val="bottom"/>
          </w:tcPr>
          <w:p>
            <w:pPr>
              <w:jc w:val="center"/>
              <w:ind w:left="2352"/>
              <w:spacing w:after="0"/>
              <w:rPr>
                <w:sz w:val="20"/>
                <w:szCs w:val="20"/>
                <w:color w:val="auto"/>
              </w:rPr>
            </w:pPr>
            <w:r>
              <w:rPr>
                <w:rFonts w:ascii="Times New Roman" w:cs="Times New Roman" w:eastAsia="Times New Roman" w:hAnsi="Times New Roman"/>
                <w:sz w:val="22"/>
                <w:szCs w:val="22"/>
                <w:color w:val="auto"/>
                <w:w w:val="97"/>
              </w:rPr>
              <w:t>63 Lancaster Avenue</w:t>
            </w:r>
          </w:p>
        </w:tc>
        <w:tc>
          <w:tcPr>
            <w:tcW w:w="224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77"/>
        </w:trPr>
        <w:tc>
          <w:tcPr>
            <w:tcW w:w="4840" w:type="dxa"/>
            <w:vAlign w:val="bottom"/>
            <w:tcBorders>
              <w:bottom w:val="single" w:sz="8" w:color="auto"/>
            </w:tcBorders>
          </w:tcPr>
          <w:p>
            <w:pPr>
              <w:jc w:val="center"/>
              <w:ind w:left="2352"/>
              <w:spacing w:after="0"/>
              <w:rPr>
                <w:sz w:val="20"/>
                <w:szCs w:val="20"/>
                <w:color w:val="auto"/>
              </w:rPr>
            </w:pPr>
            <w:r>
              <w:rPr>
                <w:rFonts w:ascii="Times New Roman" w:cs="Times New Roman" w:eastAsia="Times New Roman" w:hAnsi="Times New Roman"/>
                <w:sz w:val="22"/>
                <w:szCs w:val="22"/>
                <w:color w:val="auto"/>
                <w:w w:val="96"/>
              </w:rPr>
              <w:t>Malvern, PA</w:t>
            </w:r>
          </w:p>
        </w:tc>
        <w:tc>
          <w:tcPr>
            <w:tcW w:w="22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9"/>
              </w:rPr>
              <w:t>19355-2143</w:t>
            </w:r>
          </w:p>
        </w:tc>
      </w:tr>
      <w:tr>
        <w:trPr>
          <w:trHeight w:val="282"/>
        </w:trPr>
        <w:tc>
          <w:tcPr>
            <w:tcW w:w="708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color w:val="auto"/>
                <w:w w:val="97"/>
              </w:rPr>
              <w:t>(Address of Principal Executive Offices)</w:t>
            </w:r>
          </w:p>
        </w:tc>
        <w:tc>
          <w:tcPr>
            <w:tcW w:w="416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Zip Code</w:t>
            </w:r>
          </w:p>
        </w:tc>
      </w:tr>
      <w:tr>
        <w:trPr>
          <w:trHeight w:val="459"/>
        </w:trPr>
        <w:tc>
          <w:tcPr>
            <w:tcW w:w="484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9"/>
              </w:rPr>
              <w:t>Registrant's telephone number, including area code</w:t>
            </w:r>
          </w:p>
        </w:tc>
        <w:tc>
          <w:tcPr>
            <w:tcW w:w="224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610-644-1300</w:t>
            </w:r>
          </w:p>
        </w:tc>
        <w:tc>
          <w:tcPr>
            <w:tcW w:w="4160" w:type="dxa"/>
            <w:vAlign w:val="bottom"/>
          </w:tcPr>
          <w:p>
            <w:pPr>
              <w:spacing w:after="0"/>
              <w:rPr>
                <w:sz w:val="24"/>
                <w:szCs w:val="24"/>
                <w:color w:val="auto"/>
              </w:rPr>
            </w:pPr>
          </w:p>
        </w:tc>
      </w:tr>
    </w:tbl>
    <w:p>
      <w:pPr>
        <w:spacing w:after="0" w:line="200" w:lineRule="exact"/>
        <w:rPr>
          <w:sz w:val="24"/>
          <w:szCs w:val="24"/>
          <w:color w:val="auto"/>
        </w:rPr>
      </w:pPr>
    </w:p>
    <w:p>
      <w:pPr>
        <w:spacing w:after="0" w:line="274"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2"/>
          <w:szCs w:val="2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4" w:lineRule="exact"/>
        <w:rPr>
          <w:sz w:val="24"/>
          <w:szCs w:val="24"/>
          <w:color w:val="auto"/>
        </w:rPr>
      </w:pPr>
    </w:p>
    <w:p>
      <w:pPr>
        <w:ind w:left="340" w:right="114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253" w:lineRule="exact"/>
        <w:rPr>
          <w:sz w:val="24"/>
          <w:szCs w:val="24"/>
          <w:color w:val="auto"/>
        </w:rPr>
      </w:pPr>
    </w:p>
    <w:p>
      <w:pPr>
        <w:ind w:left="1480" w:hanging="1342"/>
        <w:spacing w:after="0"/>
        <w:tabs>
          <w:tab w:leader="none" w:pos="1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7" w:lineRule="exact"/>
        <w:rPr>
          <w:rFonts w:ascii="MS PGothic" w:cs="MS PGothic" w:eastAsia="MS PGothic" w:hAnsi="MS PGothic"/>
          <w:sz w:val="22"/>
          <w:szCs w:val="22"/>
          <w:color w:val="auto"/>
        </w:rPr>
      </w:pPr>
    </w:p>
    <w:p>
      <w:pPr>
        <w:ind w:left="1480" w:hanging="1342"/>
        <w:spacing w:after="0"/>
        <w:tabs>
          <w:tab w:leader="none" w:pos="1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rPr>
      </w:pPr>
    </w:p>
    <w:p>
      <w:pPr>
        <w:ind w:left="1520" w:right="1320" w:hanging="1382"/>
        <w:spacing w:after="0" w:line="181" w:lineRule="auto"/>
        <w:tabs>
          <w:tab w:leader="none" w:pos="1477"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21"/>
          <w:szCs w:val="21"/>
          <w:color w:val="auto"/>
        </w:rPr>
        <w:t>Pre-commencement communications pursuant to Rule 14d-2(b) under the Exchange Act (17 CFR 240.14d-2(b))</w:t>
      </w:r>
    </w:p>
    <w:p>
      <w:pPr>
        <w:spacing w:after="0" w:line="2" w:lineRule="exact"/>
        <w:rPr>
          <w:rFonts w:ascii="MS PGothic" w:cs="MS PGothic" w:eastAsia="MS PGothic" w:hAnsi="MS PGothic"/>
          <w:sz w:val="40"/>
          <w:szCs w:val="40"/>
          <w:color w:val="auto"/>
          <w:vertAlign w:val="subscript"/>
        </w:rPr>
      </w:pPr>
    </w:p>
    <w:p>
      <w:pPr>
        <w:ind w:left="1520" w:right="1340" w:hanging="1382"/>
        <w:spacing w:after="0" w:line="181" w:lineRule="auto"/>
        <w:tabs>
          <w:tab w:leader="none" w:pos="1477" w:val="left"/>
        </w:tabs>
        <w:numPr>
          <w:ilvl w:val="0"/>
          <w:numId w:val="1"/>
        </w:numPr>
        <w:rPr>
          <w:rFonts w:ascii="MS PGothic" w:cs="MS PGothic" w:eastAsia="MS PGothic" w:hAnsi="MS PGothic"/>
          <w:sz w:val="42"/>
          <w:szCs w:val="42"/>
          <w:color w:val="auto"/>
          <w:vertAlign w:val="subscript"/>
        </w:rPr>
      </w:pPr>
      <w:r>
        <w:rPr>
          <w:rFonts w:ascii="Times New Roman" w:cs="Times New Roman" w:eastAsia="Times New Roman" w:hAnsi="Times New Roman"/>
          <w:sz w:val="21"/>
          <w:szCs w:val="21"/>
          <w:color w:val="auto"/>
        </w:rPr>
        <w:t>Pre-commencement communications pursuant to Rule 13e-4(c) under the Exchange Act (17 CFR 240.13e-4(c))</w:t>
      </w:r>
    </w:p>
    <w:p>
      <w:pPr>
        <w:spacing w:after="0" w:line="274"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6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rPr>
        <w:t>☐</w:t>
      </w:r>
    </w:p>
    <w:p>
      <w:pPr>
        <w:spacing w:after="0" w:line="223" w:lineRule="exact"/>
        <w:rPr>
          <w:sz w:val="24"/>
          <w:szCs w:val="24"/>
          <w:color w:val="auto"/>
        </w:rPr>
      </w:pPr>
    </w:p>
    <w:p>
      <w:pPr>
        <w:spacing w:after="0" w:line="285"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40" w:lineRule="exact"/>
        <w:rPr>
          <w:sz w:val="24"/>
          <w:szCs w:val="24"/>
          <w:color w:val="auto"/>
        </w:rPr>
      </w:pPr>
    </w:p>
    <w:tbl>
      <w:tblPr>
        <w:tblLayout w:type="fixed"/>
        <w:tblInd w:w="10" w:type="dxa"/>
        <w:tblCellMar>
          <w:top w:w="0" w:type="dxa"/>
          <w:left w:w="0" w:type="dxa"/>
          <w:bottom w:w="0" w:type="dxa"/>
          <w:right w:w="0" w:type="dxa"/>
        </w:tblCellMar>
      </w:tblPr>
      <w:tr>
        <w:trPr>
          <w:trHeight w:val="496"/>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Trading symbol</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Name of exchange on which registered</w:t>
            </w:r>
          </w:p>
        </w:tc>
      </w:tr>
      <w:tr>
        <w:trPr>
          <w:trHeight w:val="47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Common stock, par value $0.10 per share</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VSH</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r>
        <w:trPr>
          <w:trHeight w:val="220"/>
        </w:trPr>
        <w:tc>
          <w:tcPr>
            <w:tcW w:w="37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216" w:right="339" w:bottom="1440" w:gutter="0" w:footer="0" w:header="0"/>
        </w:sectPr>
      </w:pPr>
    </w:p>
    <w:bookmarkStart w:id="1" w:name="page2"/>
    <w:bookmarkEnd w:id="1"/>
    <w:p>
      <w:pPr>
        <w:spacing w:after="0" w:line="262" w:lineRule="auto"/>
        <w:rPr>
          <w:sz w:val="20"/>
          <w:szCs w:val="20"/>
          <w:color w:val="auto"/>
        </w:rPr>
      </w:pPr>
      <w:r>
        <w:rPr>
          <w:rFonts w:ascii="Times New Roman" w:cs="Times New Roman" w:eastAsia="Times New Roman" w:hAnsi="Times New Roman"/>
          <w:sz w:val="22"/>
          <w:szCs w:val="22"/>
          <w:b w:val="1"/>
          <w:bCs w:val="1"/>
          <w:color w:val="auto"/>
        </w:rPr>
        <w:t>Item 5.02 – Departure of Directors or Certain Officers; Election of Directors; Appointment of Certain Officers; Compensatory Arrangements of Certain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 Compensatory Arrangements of Certain Officers</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Vishay Intertechnology, Inc. ("Vishay") held its Annual Meeting of Stockholders on May 18, 2026. Vishay stockholders voted to approve Amendment No. 1 to the Vishay Intertechnology, Inc. 2023 Long-Term Incentive Plan (the "2023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listing of the changes reflected in the 2023 Plan is summarized below:</w:t>
      </w:r>
    </w:p>
    <w:p>
      <w:pPr>
        <w:sectPr>
          <w:pgSz w:w="11900" w:h="16838" w:orient="portrait"/>
          <w:cols w:equalWidth="0" w:num="1">
            <w:col w:w="11240"/>
          </w:cols>
          <w:pgMar w:left="320" w:top="108" w:right="339" w:bottom="1440" w:gutter="0" w:footer="0" w:header="0"/>
        </w:sect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increase the number of shares available for issuance under the 2023 Plan by 6.0 million shares from approximately 6.0 million shares to approximately 12.0 million shares;</w:t>
      </w:r>
    </w:p>
    <w:p>
      <w:pPr>
        <w:spacing w:after="0" w:line="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extend the term of the 2023 Plan by approximately 3 years to the tenth anniversary of the approval of the amendment by our Board of Directors; and</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clarify that the 2023 Plan's feature for automatic exercise of expiring stock options only applies to the extent the relevant option is then vested and exercisable.</w:t>
      </w:r>
    </w:p>
    <w:p>
      <w:pPr>
        <w:spacing w:after="0" w:line="200" w:lineRule="exact"/>
        <w:rPr>
          <w:sz w:val="20"/>
          <w:szCs w:val="20"/>
          <w:color w:val="auto"/>
        </w:rPr>
      </w:pPr>
    </w:p>
    <w:p>
      <w:pPr>
        <w:sectPr>
          <w:pgSz w:w="11900" w:h="16838" w:orient="portrait"/>
          <w:cols w:equalWidth="0" w:num="2">
            <w:col w:w="100" w:space="480"/>
            <w:col w:w="10660"/>
          </w:cols>
          <w:pgMar w:left="320" w:top="108" w:right="339" w:bottom="1440" w:gutter="0" w:footer="0" w:header="0"/>
          <w:type w:val="continuous"/>
        </w:sectPr>
      </w:pPr>
    </w:p>
    <w:p>
      <w:pPr>
        <w:spacing w:after="0" w:line="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foregoing description is qualified in its entirety by reference to the 2023 Plan, which is incorporated herein by reference to Annex A to Vishay's proxy statement, dated April 8, 2026, for its 2026 Annual Meeting of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5.07 – Submission of Matters to a Vote of Security Holders.</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Vishay held its Annual Meeting of Stockholders on May 18, 2026. At the Annual Meeting of Stockholders, Vishay's stockholders elected four directors to hold office until the 2029 annual meeting, ratified the appointment of Deloitte &amp; Touche LLP as Vishay's independent registered public accounting firm for the year ending December 31, 2026, voted on an advisory basis to approve Vishay's executive compensation, and voted to approve Amendment No. 1 to the 2023 Long-Term Incentive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share of common stock is entitled to one vote, and each share of Class B common stock is entitled to ten votes.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results of the votes of stockholders on each matter set forth at the Annual Meeting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7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Election of Directors to Hold Office until 2029</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8"/>
              </w:rPr>
              <w:t>Broker Non-</w:t>
            </w:r>
          </w:p>
        </w:tc>
        <w:tc>
          <w:tcPr>
            <w:tcW w:w="0" w:type="dxa"/>
            <w:vAlign w:val="bottom"/>
          </w:tcPr>
          <w:p>
            <w:pPr>
              <w:spacing w:after="0"/>
              <w:rPr>
                <w:sz w:val="1"/>
                <w:szCs w:val="1"/>
                <w:color w:val="auto"/>
              </w:rPr>
            </w:pPr>
          </w:p>
        </w:tc>
      </w:tr>
      <w:tr>
        <w:trPr>
          <w:trHeight w:val="277"/>
        </w:trPr>
        <w:tc>
          <w:tcPr>
            <w:tcW w:w="73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i w:val="1"/>
                <w:iCs w:val="1"/>
                <w:color w:val="auto"/>
              </w:rPr>
              <w:t>Michael J. Cody</w:t>
            </w:r>
          </w:p>
        </w:tc>
        <w:tc>
          <w:tcPr>
            <w:tcW w:w="140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For</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22"/>
                <w:szCs w:val="22"/>
                <w:color w:val="auto"/>
              </w:rPr>
              <w:t>Withheld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color w:val="auto"/>
                <w:w w:val="93"/>
              </w:rPr>
              <w:t>Votes</w:t>
            </w:r>
          </w:p>
        </w:tc>
        <w:tc>
          <w:tcPr>
            <w:tcW w:w="0" w:type="dxa"/>
            <w:vAlign w:val="bottom"/>
          </w:tcPr>
          <w:p>
            <w:pPr>
              <w:spacing w:after="0"/>
              <w:rPr>
                <w:sz w:val="1"/>
                <w:szCs w:val="1"/>
                <w:color w:val="auto"/>
              </w:rPr>
            </w:pPr>
          </w:p>
        </w:tc>
      </w:tr>
      <w:tr>
        <w:trPr>
          <w:trHeight w:val="243"/>
        </w:trPr>
        <w:tc>
          <w:tcPr>
            <w:tcW w:w="7300" w:type="dxa"/>
            <w:vAlign w:val="bottom"/>
            <w:vMerge w:val="continue"/>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1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70,195,520</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33,678,479</w:t>
            </w:r>
          </w:p>
        </w:tc>
        <w:tc>
          <w:tcPr>
            <w:tcW w:w="12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6,793,734</w:t>
            </w:r>
          </w:p>
        </w:tc>
        <w:tc>
          <w:tcPr>
            <w:tcW w:w="0" w:type="dxa"/>
            <w:vAlign w:val="bottom"/>
          </w:tcPr>
          <w:p>
            <w:pPr>
              <w:spacing w:after="0"/>
              <w:rPr>
                <w:sz w:val="1"/>
                <w:szCs w:val="1"/>
                <w:color w:val="auto"/>
              </w:rPr>
            </w:pPr>
          </w:p>
        </w:tc>
      </w:tr>
      <w:tr>
        <w:trPr>
          <w:trHeight w:val="250"/>
        </w:trPr>
        <w:tc>
          <w:tcPr>
            <w:tcW w:w="73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Class B common stock</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11,340,267</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18,021</w:t>
            </w: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4"/>
        </w:trPr>
        <w:tc>
          <w:tcPr>
            <w:tcW w:w="7300" w:type="dxa"/>
            <w:vAlign w:val="bottom"/>
            <w:tcBorders>
              <w:bottom w:val="single" w:sz="8" w:color="CCEEFF"/>
            </w:tcBorders>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Total voting power</w:t>
            </w:r>
          </w:p>
        </w:tc>
        <w:tc>
          <w:tcPr>
            <w:tcW w:w="11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183,598,190</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33,858,689</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6,793,734</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300" w:type="dxa"/>
            <w:vAlign w:val="bottom"/>
          </w:tcPr>
          <w:p>
            <w:pPr>
              <w:spacing w:after="0" w:line="237" w:lineRule="exact"/>
              <w:rPr>
                <w:sz w:val="20"/>
                <w:szCs w:val="20"/>
                <w:color w:val="auto"/>
              </w:rPr>
            </w:pPr>
            <w:r>
              <w:rPr>
                <w:rFonts w:ascii="Times New Roman" w:cs="Times New Roman" w:eastAsia="Times New Roman" w:hAnsi="Times New Roman"/>
                <w:sz w:val="22"/>
                <w:szCs w:val="22"/>
                <w:b w:val="1"/>
                <w:bCs w:val="1"/>
                <w:i w:val="1"/>
                <w:iCs w:val="1"/>
                <w:color w:val="auto"/>
              </w:rPr>
              <w:t>Dr. Abraham Ludomirski</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1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48,751,033</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55,122,966</w:t>
            </w:r>
          </w:p>
        </w:tc>
        <w:tc>
          <w:tcPr>
            <w:tcW w:w="12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6,793,734</w:t>
            </w:r>
          </w:p>
        </w:tc>
        <w:tc>
          <w:tcPr>
            <w:tcW w:w="0" w:type="dxa"/>
            <w:vAlign w:val="bottom"/>
          </w:tcPr>
          <w:p>
            <w:pPr>
              <w:spacing w:after="0"/>
              <w:rPr>
                <w:sz w:val="1"/>
                <w:szCs w:val="1"/>
                <w:color w:val="auto"/>
              </w:rPr>
            </w:pPr>
          </w:p>
        </w:tc>
      </w:tr>
      <w:tr>
        <w:trPr>
          <w:trHeight w:val="250"/>
        </w:trPr>
        <w:tc>
          <w:tcPr>
            <w:tcW w:w="73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Class B common stock</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11,340,267</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18,021</w:t>
            </w: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4"/>
        </w:trPr>
        <w:tc>
          <w:tcPr>
            <w:tcW w:w="7300" w:type="dxa"/>
            <w:vAlign w:val="bottom"/>
            <w:tcBorders>
              <w:bottom w:val="single" w:sz="8" w:color="CCEEFF"/>
            </w:tcBorders>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Total voting power</w:t>
            </w:r>
          </w:p>
        </w:tc>
        <w:tc>
          <w:tcPr>
            <w:tcW w:w="11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162,153,703</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55,303,176</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6,793,734</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300" w:type="dxa"/>
            <w:vAlign w:val="bottom"/>
          </w:tcPr>
          <w:p>
            <w:pPr>
              <w:spacing w:after="0" w:line="237" w:lineRule="exact"/>
              <w:rPr>
                <w:sz w:val="20"/>
                <w:szCs w:val="20"/>
                <w:color w:val="auto"/>
              </w:rPr>
            </w:pPr>
            <w:r>
              <w:rPr>
                <w:rFonts w:ascii="Times New Roman" w:cs="Times New Roman" w:eastAsia="Times New Roman" w:hAnsi="Times New Roman"/>
                <w:sz w:val="22"/>
                <w:szCs w:val="22"/>
                <w:b w:val="1"/>
                <w:bCs w:val="1"/>
                <w:i w:val="1"/>
                <w:iCs w:val="1"/>
                <w:color w:val="auto"/>
              </w:rPr>
              <w:t>John Malvisi</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1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103,197,566</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676,433</w:t>
            </w:r>
          </w:p>
        </w:tc>
        <w:tc>
          <w:tcPr>
            <w:tcW w:w="12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6,793,734</w:t>
            </w:r>
          </w:p>
        </w:tc>
        <w:tc>
          <w:tcPr>
            <w:tcW w:w="0" w:type="dxa"/>
            <w:vAlign w:val="bottom"/>
          </w:tcPr>
          <w:p>
            <w:pPr>
              <w:spacing w:after="0"/>
              <w:rPr>
                <w:sz w:val="1"/>
                <w:szCs w:val="1"/>
                <w:color w:val="auto"/>
              </w:rPr>
            </w:pPr>
          </w:p>
        </w:tc>
      </w:tr>
      <w:tr>
        <w:trPr>
          <w:trHeight w:val="250"/>
        </w:trPr>
        <w:tc>
          <w:tcPr>
            <w:tcW w:w="73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Class B common stock</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11,358,288</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4"/>
        </w:trPr>
        <w:tc>
          <w:tcPr>
            <w:tcW w:w="7300" w:type="dxa"/>
            <w:vAlign w:val="bottom"/>
            <w:tcBorders>
              <w:bottom w:val="single" w:sz="8" w:color="CCEEFF"/>
            </w:tcBorders>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Total voting power</w:t>
            </w:r>
          </w:p>
        </w:tc>
        <w:tc>
          <w:tcPr>
            <w:tcW w:w="11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216,780,446</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676,433</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6,793,734</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300" w:type="dxa"/>
            <w:vAlign w:val="bottom"/>
          </w:tcPr>
          <w:p>
            <w:pPr>
              <w:spacing w:after="0" w:line="237" w:lineRule="exact"/>
              <w:rPr>
                <w:sz w:val="20"/>
                <w:szCs w:val="20"/>
                <w:color w:val="auto"/>
              </w:rPr>
            </w:pPr>
            <w:r>
              <w:rPr>
                <w:rFonts w:ascii="Times New Roman" w:cs="Times New Roman" w:eastAsia="Times New Roman" w:hAnsi="Times New Roman"/>
                <w:sz w:val="22"/>
                <w:szCs w:val="22"/>
                <w:b w:val="1"/>
                <w:bCs w:val="1"/>
                <w:i w:val="1"/>
                <w:iCs w:val="1"/>
                <w:color w:val="auto"/>
              </w:rPr>
              <w:t>Raanan Zilberman</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40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1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70,202,596</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33,671,403</w:t>
            </w:r>
          </w:p>
        </w:tc>
        <w:tc>
          <w:tcPr>
            <w:tcW w:w="12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6,793,734</w:t>
            </w:r>
          </w:p>
        </w:tc>
        <w:tc>
          <w:tcPr>
            <w:tcW w:w="0" w:type="dxa"/>
            <w:vAlign w:val="bottom"/>
          </w:tcPr>
          <w:p>
            <w:pPr>
              <w:spacing w:after="0"/>
              <w:rPr>
                <w:sz w:val="1"/>
                <w:szCs w:val="1"/>
                <w:color w:val="auto"/>
              </w:rPr>
            </w:pPr>
          </w:p>
        </w:tc>
      </w:tr>
      <w:tr>
        <w:trPr>
          <w:trHeight w:val="250"/>
        </w:trPr>
        <w:tc>
          <w:tcPr>
            <w:tcW w:w="730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Class B common stock</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11,340,267</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18,021</w:t>
            </w: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3"/>
        </w:trPr>
        <w:tc>
          <w:tcPr>
            <w:tcW w:w="7300" w:type="dxa"/>
            <w:vAlign w:val="bottom"/>
            <w:tcBorders>
              <w:bottom w:val="single" w:sz="8" w:color="CCEEFF"/>
            </w:tcBorders>
            <w:shd w:val="clear" w:color="auto" w:fill="CCEEFF"/>
          </w:tcPr>
          <w:p>
            <w:pPr>
              <w:ind w:left="400"/>
              <w:spacing w:after="0" w:line="243" w:lineRule="exact"/>
              <w:rPr>
                <w:sz w:val="20"/>
                <w:szCs w:val="20"/>
                <w:color w:val="auto"/>
              </w:rPr>
            </w:pPr>
            <w:r>
              <w:rPr>
                <w:rFonts w:ascii="Times New Roman" w:cs="Times New Roman" w:eastAsia="Times New Roman" w:hAnsi="Times New Roman"/>
                <w:sz w:val="22"/>
                <w:szCs w:val="22"/>
                <w:color w:val="auto"/>
              </w:rPr>
              <w:t>Total voting power</w:t>
            </w:r>
          </w:p>
        </w:tc>
        <w:tc>
          <w:tcPr>
            <w:tcW w:w="11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183,605,266</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33,851,613</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6,793,734</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73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i w:val="1"/>
                <w:iCs w:val="1"/>
                <w:color w:val="auto"/>
              </w:rPr>
              <w:t>Ratification of Appointment of Independent Registered Accounting Firm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7"/>
        </w:trPr>
        <w:tc>
          <w:tcPr>
            <w:tcW w:w="5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8"/>
              </w:rPr>
              <w:t>Broker Non-</w:t>
            </w:r>
          </w:p>
        </w:tc>
      </w:tr>
      <w:tr>
        <w:trPr>
          <w:trHeight w:val="277"/>
        </w:trPr>
        <w:tc>
          <w:tcPr>
            <w:tcW w:w="5980" w:type="dxa"/>
            <w:vAlign w:val="bottom"/>
          </w:tcPr>
          <w:p>
            <w:pPr>
              <w:spacing w:after="0"/>
              <w:rPr>
                <w:sz w:val="24"/>
                <w:szCs w:val="24"/>
                <w:color w:val="auto"/>
              </w:rPr>
            </w:pP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For</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Against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Abstain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color w:val="auto"/>
                <w:w w:val="93"/>
              </w:rPr>
              <w:t>Votes</w:t>
            </w:r>
          </w:p>
        </w:tc>
      </w:tr>
      <w:tr>
        <w:trPr>
          <w:trHeight w:val="243"/>
        </w:trPr>
        <w:tc>
          <w:tcPr>
            <w:tcW w:w="5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1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109,860,392</w:t>
            </w:r>
          </w:p>
        </w:tc>
        <w:tc>
          <w:tcPr>
            <w:tcW w:w="22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364,017</w:t>
            </w:r>
          </w:p>
        </w:tc>
        <w:tc>
          <w:tcPr>
            <w:tcW w:w="22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443,324</w:t>
            </w:r>
          </w:p>
        </w:tc>
        <w:tc>
          <w:tcPr>
            <w:tcW w:w="220" w:type="dxa"/>
            <w:vAlign w:val="bottom"/>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CEEFF"/>
          </w:tcPr>
          <w:p>
            <w:pPr>
              <w:spacing w:after="0"/>
              <w:rPr>
                <w:sz w:val="21"/>
                <w:szCs w:val="21"/>
                <w:color w:val="auto"/>
              </w:rPr>
            </w:pPr>
          </w:p>
        </w:tc>
      </w:tr>
      <w:tr>
        <w:trPr>
          <w:trHeight w:val="250"/>
        </w:trPr>
        <w:tc>
          <w:tcPr>
            <w:tcW w:w="5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B common stock</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11,358,288</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83"/>
        </w:trPr>
        <w:tc>
          <w:tcPr>
            <w:tcW w:w="59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Total voting power</w:t>
            </w:r>
          </w:p>
        </w:tc>
        <w:tc>
          <w:tcPr>
            <w:tcW w:w="11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223,443,272</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364,017</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443,324</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492"/>
        </w:trPr>
        <w:tc>
          <w:tcPr>
            <w:tcW w:w="5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Advisory Vote on Executive Compensation</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7"/>
        </w:trPr>
        <w:tc>
          <w:tcPr>
            <w:tcW w:w="5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8"/>
              </w:rPr>
              <w:t>Broker Non-</w:t>
            </w:r>
          </w:p>
        </w:tc>
      </w:tr>
      <w:tr>
        <w:trPr>
          <w:trHeight w:val="277"/>
        </w:trPr>
        <w:tc>
          <w:tcPr>
            <w:tcW w:w="5980" w:type="dxa"/>
            <w:vAlign w:val="bottom"/>
          </w:tcPr>
          <w:p>
            <w:pPr>
              <w:spacing w:after="0"/>
              <w:rPr>
                <w:sz w:val="24"/>
                <w:szCs w:val="24"/>
                <w:color w:val="auto"/>
              </w:rPr>
            </w:pP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For</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Against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Abstain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color w:val="auto"/>
                <w:w w:val="93"/>
              </w:rPr>
              <w:t>Votes</w:t>
            </w:r>
          </w:p>
        </w:tc>
      </w:tr>
      <w:tr>
        <w:trPr>
          <w:trHeight w:val="243"/>
        </w:trPr>
        <w:tc>
          <w:tcPr>
            <w:tcW w:w="5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1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100,779,649</w:t>
            </w:r>
          </w:p>
        </w:tc>
        <w:tc>
          <w:tcPr>
            <w:tcW w:w="22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2,583,096</w:t>
            </w:r>
          </w:p>
        </w:tc>
        <w:tc>
          <w:tcPr>
            <w:tcW w:w="22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511,254</w:t>
            </w:r>
          </w:p>
        </w:tc>
        <w:tc>
          <w:tcPr>
            <w:tcW w:w="220" w:type="dxa"/>
            <w:vAlign w:val="bottom"/>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6,793,734</w:t>
            </w:r>
          </w:p>
        </w:tc>
        <w:tc>
          <w:tcPr>
            <w:tcW w:w="100" w:type="dxa"/>
            <w:vAlign w:val="bottom"/>
            <w:shd w:val="clear" w:color="auto" w:fill="CCEEFF"/>
          </w:tcPr>
          <w:p>
            <w:pPr>
              <w:spacing w:after="0"/>
              <w:rPr>
                <w:sz w:val="21"/>
                <w:szCs w:val="21"/>
                <w:color w:val="auto"/>
              </w:rPr>
            </w:pPr>
          </w:p>
        </w:tc>
      </w:tr>
      <w:tr>
        <w:trPr>
          <w:trHeight w:val="250"/>
        </w:trPr>
        <w:tc>
          <w:tcPr>
            <w:tcW w:w="5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B common stock</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11,358,288</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84"/>
        </w:trPr>
        <w:tc>
          <w:tcPr>
            <w:tcW w:w="59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Total voting power</w:t>
            </w:r>
          </w:p>
        </w:tc>
        <w:tc>
          <w:tcPr>
            <w:tcW w:w="11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214,362,529</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2,583,096</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511,254</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6,793,734</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491"/>
        </w:trPr>
        <w:tc>
          <w:tcPr>
            <w:tcW w:w="73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i w:val="1"/>
                <w:iCs w:val="1"/>
                <w:color w:val="auto"/>
              </w:rPr>
              <w:t>Approval of Amendment No. 1 to the 2023 Long-Term Incentive Plan</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7"/>
        </w:trPr>
        <w:tc>
          <w:tcPr>
            <w:tcW w:w="5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8"/>
              </w:rPr>
              <w:t>Broker Non-</w:t>
            </w:r>
          </w:p>
        </w:tc>
      </w:tr>
      <w:tr>
        <w:trPr>
          <w:trHeight w:val="277"/>
        </w:trPr>
        <w:tc>
          <w:tcPr>
            <w:tcW w:w="5980" w:type="dxa"/>
            <w:vAlign w:val="bottom"/>
          </w:tcPr>
          <w:p>
            <w:pPr>
              <w:spacing w:after="0"/>
              <w:rPr>
                <w:sz w:val="24"/>
                <w:szCs w:val="24"/>
                <w:color w:val="auto"/>
              </w:rPr>
            </w:pP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For</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Against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Abstain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color w:val="auto"/>
                <w:w w:val="93"/>
              </w:rPr>
              <w:t>Votes</w:t>
            </w:r>
          </w:p>
        </w:tc>
      </w:tr>
      <w:tr>
        <w:trPr>
          <w:trHeight w:val="243"/>
        </w:trPr>
        <w:tc>
          <w:tcPr>
            <w:tcW w:w="5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1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97,074,915</w:t>
            </w:r>
          </w:p>
        </w:tc>
        <w:tc>
          <w:tcPr>
            <w:tcW w:w="22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6,302,036</w:t>
            </w:r>
          </w:p>
        </w:tc>
        <w:tc>
          <w:tcPr>
            <w:tcW w:w="22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497,048</w:t>
            </w:r>
          </w:p>
        </w:tc>
        <w:tc>
          <w:tcPr>
            <w:tcW w:w="220" w:type="dxa"/>
            <w:vAlign w:val="bottom"/>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6,793,734</w:t>
            </w:r>
          </w:p>
        </w:tc>
        <w:tc>
          <w:tcPr>
            <w:tcW w:w="100" w:type="dxa"/>
            <w:vAlign w:val="bottom"/>
            <w:shd w:val="clear" w:color="auto" w:fill="CCEEFF"/>
          </w:tcPr>
          <w:p>
            <w:pPr>
              <w:spacing w:after="0"/>
              <w:rPr>
                <w:sz w:val="21"/>
                <w:szCs w:val="21"/>
                <w:color w:val="auto"/>
              </w:rPr>
            </w:pPr>
          </w:p>
        </w:tc>
      </w:tr>
      <w:tr>
        <w:trPr>
          <w:trHeight w:val="250"/>
        </w:trPr>
        <w:tc>
          <w:tcPr>
            <w:tcW w:w="5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B common stock</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11,358,288</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83"/>
        </w:trPr>
        <w:tc>
          <w:tcPr>
            <w:tcW w:w="59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Total voting power</w:t>
            </w:r>
          </w:p>
        </w:tc>
        <w:tc>
          <w:tcPr>
            <w:tcW w:w="11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210,657,795</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6,302,036</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497,048</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6,793,734</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8.01 – Other Events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Cash Dividend Declaration</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May 18, 2026, Vishay declared a quarterly cash dividend of $0.10 per share of common stock and Class B common stock outstanding payable on June 29, 2026 to stockholders of record at the close of business on June 18, 2026. A copy of the press release announcing the dividend declaration is attached as Exhibit 99.1 to this report.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 Financial Statements and Exhibits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2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(d) Exhibits</w:t>
            </w:r>
          </w:p>
        </w:tc>
        <w:tc>
          <w:tcPr>
            <w:tcW w:w="29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35"/>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Description</w:t>
            </w:r>
          </w:p>
        </w:tc>
      </w:tr>
      <w:tr>
        <w:trPr>
          <w:trHeight w:val="243"/>
        </w:trPr>
        <w:tc>
          <w:tcPr>
            <w:tcW w:w="76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296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3"/>
        </w:trPr>
        <w:tc>
          <w:tcPr>
            <w:tcW w:w="1240" w:type="dxa"/>
            <w:vAlign w:val="bottom"/>
            <w:gridSpan w:val="3"/>
            <w:shd w:val="clear" w:color="auto" w:fill="CCEEFF"/>
          </w:tcPr>
          <w:p>
            <w:pPr>
              <w:jc w:val="right"/>
              <w:ind w:right="100"/>
              <w:spacing w:after="0" w:line="203" w:lineRule="exact"/>
              <w:rPr>
                <w:rFonts w:ascii="Times New Roman" w:cs="Times New Roman" w:eastAsia="Times New Roman" w:hAnsi="Times New Roman"/>
                <w:sz w:val="22"/>
                <w:szCs w:val="22"/>
                <w:color w:val="0000EE"/>
              </w:rPr>
            </w:pPr>
            <w:hyperlink r:id="rId10">
              <w:r>
                <w:rPr>
                  <w:rFonts w:ascii="Times New Roman" w:cs="Times New Roman" w:eastAsia="Times New Roman" w:hAnsi="Times New Roman"/>
                  <w:sz w:val="22"/>
                  <w:szCs w:val="22"/>
                  <w:color w:val="0000EE"/>
                </w:rPr>
                <w:t>10.</w:t>
              </w:r>
              <w:r>
                <w:rPr>
                  <w:rFonts w:ascii="Times New Roman" w:cs="Times New Roman" w:eastAsia="Times New Roman" w:hAnsi="Times New Roman"/>
                  <w:sz w:val="22"/>
                  <w:szCs w:val="22"/>
                  <w:u w:val="single" w:color="auto"/>
                  <w:color w:val="0000EE"/>
                </w:rPr>
                <w:t>1</w:t>
              </w:r>
            </w:hyperlink>
          </w:p>
        </w:tc>
        <w:tc>
          <w:tcPr>
            <w:tcW w:w="10000" w:type="dxa"/>
            <w:vAlign w:val="bottom"/>
            <w:gridSpan w:val="4"/>
            <w:shd w:val="clear" w:color="auto" w:fill="CCEEFF"/>
          </w:tcPr>
          <w:p>
            <w:pPr>
              <w:ind w:left="20"/>
              <w:spacing w:after="0" w:line="203" w:lineRule="exact"/>
              <w:rPr>
                <w:rFonts w:ascii="Times New Roman" w:cs="Times New Roman" w:eastAsia="Times New Roman" w:hAnsi="Times New Roman"/>
                <w:sz w:val="22"/>
                <w:szCs w:val="22"/>
                <w:color w:val="0000EE"/>
                <w:w w:val="99"/>
              </w:rPr>
            </w:pPr>
            <w:hyperlink r:id="rId10">
              <w:r>
                <w:rPr>
                  <w:rFonts w:ascii="Times New Roman" w:cs="Times New Roman" w:eastAsia="Times New Roman" w:hAnsi="Times New Roman"/>
                  <w:sz w:val="22"/>
                  <w:szCs w:val="22"/>
                  <w:color w:val="0000EE"/>
                  <w:w w:val="99"/>
                </w:rPr>
                <w:t>Amendment No. 1 to the Vishay Intertechnology, Inc. 2023 Long-Term Incentive Plan. Incorporated by reference</w:t>
              </w:r>
            </w:hyperlink>
          </w:p>
        </w:tc>
      </w:tr>
      <w:tr>
        <w:trPr>
          <w:trHeight w:val="248"/>
        </w:trPr>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0000EE"/>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60" w:type="dxa"/>
            <w:vAlign w:val="bottom"/>
            <w:tcBorders>
              <w:top w:val="single" w:sz="8" w:color="0000EE"/>
              <w:bottom w:val="single" w:sz="8" w:color="0000EE"/>
            </w:tcBorders>
            <w:gridSpan w:val="2"/>
            <w:shd w:val="clear" w:color="auto" w:fill="CCEEFF"/>
          </w:tcPr>
          <w:p>
            <w:pPr>
              <w:ind w:left="20"/>
              <w:spacing w:after="0" w:line="223" w:lineRule="exact"/>
              <w:rPr>
                <w:rFonts w:ascii="Times New Roman" w:cs="Times New Roman" w:eastAsia="Times New Roman" w:hAnsi="Times New Roman"/>
                <w:sz w:val="22"/>
                <w:szCs w:val="22"/>
                <w:color w:val="0000EE"/>
                <w:w w:val="98"/>
              </w:rPr>
            </w:pPr>
            <w:hyperlink r:id="rId10">
              <w:r>
                <w:rPr>
                  <w:rFonts w:ascii="Times New Roman" w:cs="Times New Roman" w:eastAsia="Times New Roman" w:hAnsi="Times New Roman"/>
                  <w:sz w:val="22"/>
                  <w:szCs w:val="22"/>
                  <w:color w:val="0000EE"/>
                  <w:w w:val="98"/>
                </w:rPr>
                <w:t>to Annex A to our definitive proxy statement, dated April 8, 2026, for our 2026 Annual Meeting of Stockholders.</w:t>
              </w:r>
            </w:hyperlink>
          </w:p>
        </w:tc>
        <w:tc>
          <w:tcPr>
            <w:tcW w:w="20" w:type="dxa"/>
            <w:vAlign w:val="bottom"/>
            <w:tcBorders>
              <w:top w:val="single" w:sz="8" w:color="CCEEFF"/>
              <w:bottom w:val="single" w:sz="8" w:color="0000EE"/>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240" w:type="dxa"/>
            <w:vAlign w:val="bottom"/>
            <w:tcBorders>
              <w:top w:val="single" w:sz="8" w:color="CCEEFF"/>
            </w:tcBorders>
            <w:gridSpan w:val="3"/>
          </w:tcPr>
          <w:p>
            <w:pPr>
              <w:jc w:val="right"/>
              <w:ind w:right="100"/>
              <w:spacing w:after="0" w:line="203" w:lineRule="exact"/>
              <w:rPr>
                <w:sz w:val="20"/>
                <w:szCs w:val="20"/>
                <w:color w:val="auto"/>
              </w:rPr>
            </w:pPr>
            <w:r>
              <w:rPr>
                <w:rFonts w:ascii="Times New Roman" w:cs="Times New Roman" w:eastAsia="Times New Roman" w:hAnsi="Times New Roman"/>
                <w:sz w:val="22"/>
                <w:szCs w:val="22"/>
                <w:color w:val="0000EE"/>
              </w:rPr>
              <w:t>99.</w:t>
            </w:r>
            <w:r>
              <w:rPr>
                <w:rFonts w:ascii="Times New Roman" w:cs="Times New Roman" w:eastAsia="Times New Roman" w:hAnsi="Times New Roman"/>
                <w:sz w:val="22"/>
                <w:szCs w:val="22"/>
                <w:u w:val="single" w:color="auto"/>
                <w:color w:val="0000EE"/>
              </w:rPr>
              <w:t>1</w:t>
            </w:r>
          </w:p>
        </w:tc>
        <w:tc>
          <w:tcPr>
            <w:tcW w:w="10000" w:type="dxa"/>
            <w:vAlign w:val="bottom"/>
            <w:tcBorders>
              <w:top w:val="single" w:sz="8" w:color="CCEEFF"/>
            </w:tcBorders>
            <w:gridSpan w:val="4"/>
          </w:tcPr>
          <w:p>
            <w:pPr>
              <w:ind w:left="20"/>
              <w:spacing w:after="0" w:line="203" w:lineRule="exact"/>
              <w:rPr>
                <w:sz w:val="20"/>
                <w:szCs w:val="20"/>
                <w:color w:val="auto"/>
              </w:rPr>
            </w:pPr>
            <w:r>
              <w:rPr>
                <w:rFonts w:ascii="Times New Roman" w:cs="Times New Roman" w:eastAsia="Times New Roman" w:hAnsi="Times New Roman"/>
                <w:sz w:val="22"/>
                <w:szCs w:val="22"/>
                <w:color w:val="0000EE"/>
              </w:rPr>
              <w:t>Press release dated May 18, 2026.</w:t>
            </w:r>
          </w:p>
        </w:tc>
      </w:tr>
      <w:tr>
        <w:trPr>
          <w:trHeight w:val="20"/>
        </w:trPr>
        <w:tc>
          <w:tcPr>
            <w:tcW w:w="7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1240" w:type="dxa"/>
            <w:vAlign w:val="bottom"/>
            <w:gridSpan w:val="3"/>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104</w:t>
            </w:r>
          </w:p>
        </w:tc>
        <w:tc>
          <w:tcPr>
            <w:tcW w:w="10000" w:type="dxa"/>
            <w:vAlign w:val="bottom"/>
            <w:gridSpan w:val="4"/>
            <w:shd w:val="clear" w:color="auto" w:fill="CCEEFF"/>
          </w:tcPr>
          <w:p>
            <w:pPr>
              <w:ind w:left="20"/>
              <w:spacing w:after="0" w:line="243" w:lineRule="exact"/>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r>
      <w:tr>
        <w:trPr>
          <w:trHeight w:val="466"/>
        </w:trPr>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May 18, 2026</w:t>
      </w:r>
    </w:p>
    <w:p>
      <w:pPr>
        <w:spacing w:after="0" w:line="34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264" w:lineRule="exact"/>
        <w:rPr>
          <w:sz w:val="20"/>
          <w:szCs w:val="20"/>
          <w:color w:val="auto"/>
        </w:rPr>
      </w:pPr>
    </w:p>
    <w:tbl>
      <w:tblPr>
        <w:tblLayout w:type="fixed"/>
        <w:tblInd w:w="4860" w:type="dxa"/>
        <w:tblCellMar>
          <w:top w:w="0" w:type="dxa"/>
          <w:left w:w="0" w:type="dxa"/>
          <w:bottom w:w="0" w:type="dxa"/>
          <w:right w:w="0" w:type="dxa"/>
        </w:tblCellMar>
      </w:tblPr>
      <w:tr>
        <w:trPr>
          <w:trHeight w:val="253"/>
        </w:trPr>
        <w:tc>
          <w:tcPr>
            <w:tcW w:w="6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By:</w:t>
            </w:r>
          </w:p>
        </w:tc>
        <w:tc>
          <w:tcPr>
            <w:tcW w:w="40" w:type="dxa"/>
            <w:vAlign w:val="bottom"/>
          </w:tcPr>
          <w:p>
            <w:pPr>
              <w:spacing w:after="0"/>
              <w:rPr>
                <w:sz w:val="22"/>
                <w:szCs w:val="22"/>
                <w:color w:val="auto"/>
              </w:rPr>
            </w:pP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/s/ David L. Tomlinson</w:t>
            </w:r>
          </w:p>
        </w:tc>
        <w:tc>
          <w:tcPr>
            <w:tcW w:w="3140" w:type="dxa"/>
            <w:vAlign w:val="bottom"/>
          </w:tcPr>
          <w:p>
            <w:pPr>
              <w:spacing w:after="0"/>
              <w:rPr>
                <w:sz w:val="22"/>
                <w:szCs w:val="22"/>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0" w:type="dxa"/>
            <w:vAlign w:val="bottom"/>
          </w:tcPr>
          <w:p>
            <w:pPr>
              <w:spacing w:after="0"/>
              <w:rPr>
                <w:sz w:val="24"/>
                <w:szCs w:val="24"/>
                <w:color w:val="auto"/>
              </w:rPr>
            </w:pPr>
          </w:p>
        </w:tc>
        <w:tc>
          <w:tcPr>
            <w:tcW w:w="51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David L. Tomlinson</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0" w:type="dxa"/>
            <w:vAlign w:val="bottom"/>
          </w:tcPr>
          <w:p>
            <w:pPr>
              <w:spacing w:after="0"/>
              <w:rPr>
                <w:sz w:val="24"/>
                <w:szCs w:val="24"/>
                <w:color w:val="auto"/>
              </w:rPr>
            </w:pPr>
          </w:p>
        </w:tc>
        <w:tc>
          <w:tcPr>
            <w:tcW w:w="51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w w:val="97"/>
              </w:rPr>
              <w:t>Senior Vice President – Chief Accounting Officer</w:t>
            </w:r>
          </w:p>
        </w:tc>
      </w:tr>
    </w:tbl>
    <w:p>
      <w:pPr>
        <w:sectPr>
          <w:pgSz w:w="11900" w:h="16838" w:orient="portrait"/>
          <w:cols w:equalWidth="0" w:num="1">
            <w:col w:w="11220"/>
          </w:cols>
          <w:pgMar w:left="320" w:top="405"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VISHAY INTERTECHNOLOGY DECLARES QUARTERLY DIVIDEND</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MALVERN, Pa., May 18, 2026 - Vishay Intertechnology, Inc. (NYSE:VSH), one of the world's largest manufacturers of discrete semiconductors and passive components, announced today that the Company’s Board of Directors declared a dividend of $0.10 per share of common stock and Class B common stock to be paid June 29, 2026 to stockholders of record as of the close of business on June 18, 2026. Future dividends will be subject to Board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Vishay</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Vishay manufactures one of the world’s largest portfolios of discrete semiconductors and passive electronic components that are essential to innovative designs in the automotive, industrial, computing, consumer, telecommunications, military, aerospace, and healthcare markets. Serving customers worldwide, Vishay is </w:t>
      </w:r>
      <w:r>
        <w:rPr>
          <w:rFonts w:ascii="Times New Roman" w:cs="Times New Roman" w:eastAsia="Times New Roman" w:hAnsi="Times New Roman"/>
          <w:sz w:val="22"/>
          <w:szCs w:val="22"/>
          <w:b w:val="1"/>
          <w:bCs w:val="1"/>
          <w:i w:val="1"/>
          <w:iCs w:val="1"/>
          <w:color w:val="auto"/>
        </w:rPr>
        <w:t>The DNA of tech</w:t>
      </w:r>
      <w:r>
        <w:rPr>
          <w:rFonts w:ascii="Times New Roman" w:cs="Times New Roman" w:eastAsia="Times New Roman" w:hAnsi="Times New Roman"/>
          <w:sz w:val="22"/>
          <w:szCs w:val="22"/>
          <w:color w:val="auto"/>
        </w:rPr>
        <w:t>®. Vishay Intertechnology, Inc. is a Fortune 1,000 Company listed on the NYSE (VSH). More on Vishay at www.vishay.com.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Statements contained herein that relate to the Company's future cash dividends on its common stock and Class B common stock are forward-looking statements within the safe harbor provisions of Private Securities Litigation Reform Act of 1995. Words such as “to be,” "will be," or other similar words or expressions often identify forward-looking statements. Such statements are based on current expectations only, and are subject to certain risks, uncertainties and assumptions, many of which are beyond our control. Should one or more of these risks or uncertainties materialize, or should underlying assumptions prove incorrect, actual results, performance, or achievements may vary materially from those anticipated, estimated or projected. Among the factors that could cause actual results to materially differ include: general business and economic conditions; manufacturing or supply chain interruptions or changes in customer demand due to political, economic, and health instability and military conflicts and hostilities; delays or difficulties in implementing our cost reduction strategies; delays or difficulties in expanding our manufacturing capacities; an inability to attract and retain highly qualified personnel; changes in foreign currency exchange rates; uncertainty related to the effects of changes in foreign currency exchange rates; competition and technological changes in our industries; difficulties in new product development; difficulties in identifying suitable acquisition candidates, consummating a transaction on terms which we consider acceptable, and integration and performance of acquired businesses; changes in U.S. and foreign trade regulations and tariffs, and uncertainty regarding the same; volatility in prices for metals and materials; changes in applicable domestic and foreign tax regulations, and uncertainty regarding the same; changes in applicable accounting standards and other factors affecting our operations that are set forth in our filings with the Securities and Exchange Commission, including our annual reports on Form 10-K and our quarterly reports on Form 10-Q. We undertake no obligation to publicly update or revise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DNA of tech</w:t>
      </w:r>
      <w:r>
        <w:rPr>
          <w:rFonts w:ascii="Times New Roman" w:cs="Times New Roman" w:eastAsia="Times New Roman" w:hAnsi="Times New Roman"/>
          <w:sz w:val="22"/>
          <w:szCs w:val="22"/>
          <w:i w:val="1"/>
          <w:iCs w:val="1"/>
          <w:color w:val="auto"/>
        </w:rPr>
        <w:t>® is a trademark of Vishay Intertechnology.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Peter Henrici</w:t>
      </w:r>
    </w:p>
    <w:p>
      <w:pPr>
        <w:spacing w:after="0" w:line="230" w:lineRule="auto"/>
        <w:rPr>
          <w:sz w:val="20"/>
          <w:szCs w:val="20"/>
          <w:color w:val="auto"/>
        </w:rPr>
      </w:pPr>
      <w:r>
        <w:rPr>
          <w:rFonts w:ascii="Times New Roman" w:cs="Times New Roman" w:eastAsia="Times New Roman" w:hAnsi="Times New Roman"/>
          <w:sz w:val="22"/>
          <w:szCs w:val="22"/>
          <w:color w:val="auto"/>
        </w:rPr>
        <w:t>Executive Vice President, Corporate Development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+1-610-644-1300</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s://www.sec.gov/Archives/edgar/data/0000103730/000010373026000029/vishay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2026-05-18T15:30:49Z</dcterms:created>
  <dcterms:modified xsi:type="dcterms:W3CDTF">2026-05-18T15:30:49Z</dcterms:modified>
</cp:coreProperties>
</file>