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1"/>
          <w:szCs w:val="21"/>
          <w:color w:val="auto"/>
        </w:rPr>
        <w:t>Registration No. 333-</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As filed with the Securities and Exchange Commission on May 18, 2026.</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153"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5"/>
          <w:szCs w:val="25"/>
          <w:b w:val="1"/>
          <w:bCs w:val="1"/>
          <w:color w:val="auto"/>
        </w:rPr>
        <w:t>REGISTRATION STATEMENT UNDER THE</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ACT OF 1933</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VISHAY INTERTECHNOLOGY,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19" w:right="339" w:bottom="1440" w:gutter="0" w:footer="0" w:header="0"/>
        </w:sectPr>
      </w:pPr>
    </w:p>
    <w:p>
      <w:pPr>
        <w:spacing w:after="0" w:line="187"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38-1686453</w:t>
      </w:r>
    </w:p>
    <w:p>
      <w:pPr>
        <w:spacing w:after="0" w:line="41" w:lineRule="exact"/>
        <w:rPr>
          <w:sz w:val="24"/>
          <w:szCs w:val="24"/>
          <w:color w:val="auto"/>
        </w:rPr>
      </w:pPr>
    </w:p>
    <w:p>
      <w:pPr>
        <w:sectPr>
          <w:pgSz w:w="11900" w:h="16838" w:orient="portrait"/>
          <w:cols w:equalWidth="0" w:num="2">
            <w:col w:w="7320" w:space="720"/>
            <w:col w:w="3200"/>
          </w:cols>
          <w:pgMar w:left="320" w:top="219"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80"/>
          </w:cols>
          <w:pgMar w:left="320" w:top="219" w:right="33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63 Lancaster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Malvern, Pennsylvania 19355-2143</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Vishay Intertechnology, Inc. 2023 Long-Term Incentive Plan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David L. Tomlinson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Senior Vice President, Chief Accounting Officer</w:t>
      </w:r>
    </w:p>
    <w:p>
      <w:pPr>
        <w:jc w:val="center"/>
        <w:ind w:right="-19"/>
        <w:spacing w:after="0" w:line="238" w:lineRule="auto"/>
        <w:rPr>
          <w:sz w:val="20"/>
          <w:szCs w:val="20"/>
          <w:color w:val="auto"/>
        </w:rPr>
      </w:pPr>
      <w:r>
        <w:rPr>
          <w:rFonts w:ascii="Times New Roman" w:cs="Times New Roman" w:eastAsia="Times New Roman" w:hAnsi="Times New Roman"/>
          <w:sz w:val="21"/>
          <w:szCs w:val="21"/>
          <w:b w:val="1"/>
          <w:bCs w:val="1"/>
          <w:color w:val="auto"/>
        </w:rPr>
        <w:t>Vishay Intertechnology, Inc.</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63 Lancaster Avenue</w:t>
      </w:r>
    </w:p>
    <w:p>
      <w:pPr>
        <w:jc w:val="center"/>
        <w:ind w:right="-19"/>
        <w:spacing w:after="0" w:line="238" w:lineRule="auto"/>
        <w:rPr>
          <w:sz w:val="20"/>
          <w:szCs w:val="20"/>
          <w:color w:val="auto"/>
        </w:rPr>
      </w:pPr>
      <w:r>
        <w:rPr>
          <w:rFonts w:ascii="Times New Roman" w:cs="Times New Roman" w:eastAsia="Times New Roman" w:hAnsi="Times New Roman"/>
          <w:sz w:val="21"/>
          <w:szCs w:val="21"/>
          <w:b w:val="1"/>
          <w:bCs w:val="1"/>
          <w:color w:val="auto"/>
        </w:rPr>
        <w:t>Malvern, Pennsylvania 19355-2143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(610) 644-1300</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telphone number,</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Copies of all communications to:</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Brian Katz</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Troutman Pepper Locke LLP</w:t>
      </w:r>
    </w:p>
    <w:p>
      <w:pPr>
        <w:jc w:val="center"/>
        <w:ind w:right="-19"/>
        <w:spacing w:after="0" w:line="238" w:lineRule="auto"/>
        <w:rPr>
          <w:sz w:val="20"/>
          <w:szCs w:val="20"/>
          <w:color w:val="auto"/>
        </w:rPr>
      </w:pPr>
      <w:r>
        <w:rPr>
          <w:rFonts w:ascii="Times New Roman" w:cs="Times New Roman" w:eastAsia="Times New Roman" w:hAnsi="Times New Roman"/>
          <w:sz w:val="21"/>
          <w:szCs w:val="21"/>
          <w:b w:val="1"/>
          <w:bCs w:val="1"/>
          <w:color w:val="auto"/>
        </w:rPr>
        <w:t>3000 Two Logan Square</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Eighteenth and Arch Streets</w:t>
      </w:r>
    </w:p>
    <w:p>
      <w:pPr>
        <w:jc w:val="center"/>
        <w:ind w:right="-19"/>
        <w:spacing w:after="0" w:line="238" w:lineRule="auto"/>
        <w:rPr>
          <w:sz w:val="20"/>
          <w:szCs w:val="20"/>
          <w:color w:val="auto"/>
        </w:rPr>
      </w:pPr>
      <w:r>
        <w:rPr>
          <w:rFonts w:ascii="Times New Roman" w:cs="Times New Roman" w:eastAsia="Times New Roman" w:hAnsi="Times New Roman"/>
          <w:sz w:val="21"/>
          <w:szCs w:val="21"/>
          <w:b w:val="1"/>
          <w:bCs w:val="1"/>
          <w:color w:val="auto"/>
        </w:rPr>
        <w:t>Philadelphia, PA 19103-2799</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(215) 981-4000</w:t>
      </w:r>
    </w:p>
    <w:p>
      <w:pPr>
        <w:spacing w:after="0" w:line="189"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319"/>
        </w:trPr>
        <w:tc>
          <w:tcPr>
            <w:tcW w:w="2660" w:type="dxa"/>
            <w:vAlign w:val="bottom"/>
          </w:tcPr>
          <w:p>
            <w:pPr>
              <w:spacing w:after="0"/>
              <w:rPr>
                <w:sz w:val="20"/>
                <w:szCs w:val="20"/>
                <w:color w:val="auto"/>
              </w:rPr>
            </w:pPr>
            <w:r>
              <w:rPr>
                <w:rFonts w:ascii="Times New Roman" w:cs="Times New Roman" w:eastAsia="Times New Roman" w:hAnsi="Times New Roman"/>
                <w:sz w:val="21"/>
                <w:szCs w:val="21"/>
                <w:color w:val="auto"/>
              </w:rPr>
              <w:t>Large accelerated filer</w:t>
            </w:r>
          </w:p>
        </w:tc>
        <w:tc>
          <w:tcPr>
            <w:tcW w:w="2640" w:type="dxa"/>
            <w:vAlign w:val="bottom"/>
          </w:tcPr>
          <w:p>
            <w:pPr>
              <w:ind w:left="760"/>
              <w:spacing w:after="0" w:line="251" w:lineRule="exact"/>
              <w:rPr>
                <w:sz w:val="20"/>
                <w:szCs w:val="20"/>
                <w:color w:val="auto"/>
              </w:rPr>
            </w:pPr>
            <w:r>
              <w:rPr>
                <w:rFonts w:ascii="MS PGothic" w:cs="MS PGothic" w:eastAsia="MS PGothic" w:hAnsi="MS PGothic"/>
                <w:sz w:val="25"/>
                <w:szCs w:val="25"/>
                <w:color w:val="auto"/>
              </w:rPr>
              <w:t>⊠</w:t>
            </w:r>
          </w:p>
        </w:tc>
        <w:tc>
          <w:tcPr>
            <w:tcW w:w="4720" w:type="dxa"/>
            <w:vAlign w:val="bottom"/>
          </w:tcPr>
          <w:p>
            <w:pPr>
              <w:ind w:left="1680"/>
              <w:spacing w:after="0"/>
              <w:rPr>
                <w:sz w:val="20"/>
                <w:szCs w:val="20"/>
                <w:color w:val="auto"/>
              </w:rPr>
            </w:pPr>
            <w:r>
              <w:rPr>
                <w:rFonts w:ascii="Times New Roman" w:cs="Times New Roman" w:eastAsia="Times New Roman" w:hAnsi="Times New Roman"/>
                <w:sz w:val="21"/>
                <w:szCs w:val="21"/>
                <w:color w:val="auto"/>
              </w:rPr>
              <w:t>Accelerated filer</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54"/>
        </w:trPr>
        <w:tc>
          <w:tcPr>
            <w:tcW w:w="2660" w:type="dxa"/>
            <w:vAlign w:val="bottom"/>
          </w:tcPr>
          <w:p>
            <w:pPr>
              <w:spacing w:after="0"/>
              <w:rPr>
                <w:sz w:val="20"/>
                <w:szCs w:val="20"/>
                <w:color w:val="auto"/>
              </w:rPr>
            </w:pPr>
            <w:r>
              <w:rPr>
                <w:rFonts w:ascii="Times New Roman" w:cs="Times New Roman" w:eastAsia="Times New Roman" w:hAnsi="Times New Roman"/>
                <w:sz w:val="21"/>
                <w:szCs w:val="21"/>
                <w:color w:val="auto"/>
              </w:rPr>
              <w:t>Non-accelerated filer</w:t>
            </w:r>
          </w:p>
        </w:tc>
        <w:tc>
          <w:tcPr>
            <w:tcW w:w="2640" w:type="dxa"/>
            <w:vAlign w:val="bottom"/>
          </w:tcPr>
          <w:p>
            <w:pPr>
              <w:ind w:left="760"/>
              <w:spacing w:after="0" w:line="211" w:lineRule="exact"/>
              <w:rPr>
                <w:sz w:val="20"/>
                <w:szCs w:val="20"/>
                <w:color w:val="auto"/>
              </w:rPr>
            </w:pPr>
            <w:r>
              <w:rPr>
                <w:rFonts w:ascii="MS PGothic" w:cs="MS PGothic" w:eastAsia="MS PGothic" w:hAnsi="MS PGothic"/>
                <w:sz w:val="21"/>
                <w:szCs w:val="21"/>
                <w:color w:val="auto"/>
              </w:rPr>
              <w:t>☐</w:t>
            </w:r>
          </w:p>
        </w:tc>
        <w:tc>
          <w:tcPr>
            <w:tcW w:w="4720" w:type="dxa"/>
            <w:vAlign w:val="bottom"/>
          </w:tcPr>
          <w:p>
            <w:pPr>
              <w:ind w:left="1680"/>
              <w:spacing w:after="0"/>
              <w:rPr>
                <w:sz w:val="20"/>
                <w:szCs w:val="20"/>
                <w:color w:val="auto"/>
              </w:rPr>
            </w:pPr>
            <w:r>
              <w:rPr>
                <w:rFonts w:ascii="Times New Roman" w:cs="Times New Roman" w:eastAsia="Times New Roman" w:hAnsi="Times New Roman"/>
                <w:sz w:val="21"/>
                <w:szCs w:val="21"/>
                <w:color w:val="auto"/>
              </w:rPr>
              <w:t>Smaller reporting company</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720" w:type="dxa"/>
            <w:vAlign w:val="bottom"/>
          </w:tcPr>
          <w:p>
            <w:pPr>
              <w:ind w:left="1680"/>
              <w:spacing w:after="0"/>
              <w:rPr>
                <w:sz w:val="20"/>
                <w:szCs w:val="20"/>
                <w:color w:val="auto"/>
              </w:rPr>
            </w:pPr>
            <w:r>
              <w:rPr>
                <w:rFonts w:ascii="Times New Roman" w:cs="Times New Roman" w:eastAsia="Times New Roman" w:hAnsi="Times New Roman"/>
                <w:sz w:val="21"/>
                <w:szCs w:val="21"/>
                <w:color w:val="auto"/>
              </w:rPr>
              <w:t>Emerging growth company</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16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EXPLANATORY NOTE</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Vishay Intertechnology, Inc. (the “Company”) is hereby registering 8,000,000 shares of its common stock, par value $0.10 per share (the “Common Stock”), which includes (i) an additional 6,000,000 shares of Common Stock reserved for issuance under the Vishay Intertechnology, Inc. 2023 Long-Term Incentive Plan (as amended, the “Plan”) and (ii) 2,000,000 shares of Common Stock to accommodate the share recycling provisions in the Plan, which provide that (among other things) shares withheld for taxes or shares subject to forfeited awards may again become available for issuance under the Plan. The registration statement on Form S-8 (Registration No. 333-272140, the “Prior Plan Registration Statement”), as filed with the Securities and Exchange Commission on May 23, 2023, relating to the same class of securities and the same benefit plan is currently effective and, in accordance with Instruction E of the General Instructions to Form S-8, the contents of the Prior Plan Registration Statement, to the extent they relate to the Plan and the shares of Common Stock issuable thereunder, are incorporated herein by reference.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 Exhibits.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b w:val="1"/>
          <w:bCs w:val="1"/>
          <w:u w:val="single" w:color="auto"/>
          <w:color w:val="auto"/>
        </w:rPr>
        <w:t>Exhibit</w:t>
      </w:r>
    </w:p>
    <w:p>
      <w:pPr>
        <w:spacing w:after="0" w:line="26" w:lineRule="exact"/>
        <w:rPr>
          <w:sz w:val="20"/>
          <w:szCs w:val="20"/>
          <w:color w:val="auto"/>
        </w:rPr>
      </w:pPr>
    </w:p>
    <w:p>
      <w:pPr>
        <w:ind w:left="200"/>
        <w:spacing w:after="0"/>
        <w:tabs>
          <w:tab w:leader="none" w:pos="1120" w:val="left"/>
        </w:tabs>
        <w:rPr>
          <w:sz w:val="20"/>
          <w:szCs w:val="20"/>
          <w:color w:val="auto"/>
        </w:rPr>
      </w:pPr>
      <w:r>
        <w:rPr>
          <w:rFonts w:ascii="Times New Roman" w:cs="Times New Roman" w:eastAsia="Times New Roman" w:hAnsi="Times New Roman"/>
          <w:sz w:val="21"/>
          <w:szCs w:val="21"/>
          <w:b w:val="1"/>
          <w:bCs w:val="1"/>
          <w:u w:val="single" w:color="auto"/>
          <w:color w:val="auto"/>
        </w:rPr>
        <w:t>Number</w:t>
        <w:tab/>
        <w:t>Description</w:t>
      </w:r>
    </w:p>
    <w:p>
      <w:pPr>
        <w:ind w:left="440"/>
        <w:spacing w:after="0" w:line="238" w:lineRule="auto"/>
        <w:tabs>
          <w:tab w:leader="none" w:pos="1120" w:val="left"/>
        </w:tabs>
        <w:rPr>
          <w:rFonts w:ascii="Times New Roman" w:cs="Times New Roman" w:eastAsia="Times New Roman" w:hAnsi="Times New Roman"/>
          <w:sz w:val="21"/>
          <w:szCs w:val="21"/>
          <w:u w:val="single" w:color="auto"/>
          <w:color w:val="0000EE"/>
        </w:rPr>
      </w:pPr>
      <w:hyperlink r:id="rId9">
        <w:r>
          <w:rPr>
            <w:rFonts w:ascii="Times New Roman" w:cs="Times New Roman" w:eastAsia="Times New Roman" w:hAnsi="Times New Roman"/>
            <w:sz w:val="21"/>
            <w:szCs w:val="21"/>
            <w:u w:val="single" w:color="auto"/>
            <w:color w:val="0000EE"/>
          </w:rPr>
          <w:t>3.1</w:t>
        </w:r>
      </w:hyperlink>
      <w:r>
        <w:rPr>
          <w:rFonts w:ascii="Times New Roman" w:cs="Times New Roman" w:eastAsia="Times New Roman" w:hAnsi="Times New Roman"/>
          <w:sz w:val="21"/>
          <w:szCs w:val="21"/>
          <w:u w:val="single" w:color="auto"/>
          <w:color w:val="0000EE"/>
        </w:rPr>
        <w:tab/>
      </w:r>
      <w:hyperlink r:id="rId9">
        <w:r>
          <w:rPr>
            <w:rFonts w:ascii="Times New Roman" w:cs="Times New Roman" w:eastAsia="Times New Roman" w:hAnsi="Times New Roman"/>
            <w:sz w:val="21"/>
            <w:szCs w:val="21"/>
            <w:u w:val="single" w:color="auto"/>
            <w:color w:val="0000EE"/>
          </w:rPr>
          <w:t>Corrected Amended and Restated Certificate of Incorporation of Vishay Intertechnology, Inc. dated June 5,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305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3590" cy="305435"/>
                    </a:xfrm>
                    <a:prstGeom prst="rect">
                      <a:avLst/>
                    </a:prstGeom>
                    <a:noFill/>
                  </pic:spPr>
                </pic:pic>
              </a:graphicData>
            </a:graphic>
          </wp:anchor>
        </w:drawing>
      </w:r>
    </w:p>
    <w:p>
      <w:pPr>
        <w:ind w:left="1140"/>
        <w:spacing w:after="0"/>
        <w:rPr>
          <w:rFonts w:ascii="Times New Roman" w:cs="Times New Roman" w:eastAsia="Times New Roman" w:hAnsi="Times New Roman"/>
          <w:sz w:val="21"/>
          <w:szCs w:val="21"/>
          <w:u w:val="single" w:color="auto"/>
          <w:color w:val="0000EE"/>
        </w:rPr>
      </w:pPr>
      <w:hyperlink r:id="rId9">
        <w:r>
          <w:rPr>
            <w:rFonts w:ascii="Times New Roman" w:cs="Times New Roman" w:eastAsia="Times New Roman" w:hAnsi="Times New Roman"/>
            <w:sz w:val="21"/>
            <w:szCs w:val="21"/>
            <w:u w:val="single" w:color="auto"/>
            <w:color w:val="0000EE"/>
          </w:rPr>
          <w:t>Incorporated by reference to Exhibit 3.1 to our current report on Form 8-K filed June 5, 2012.</w:t>
        </w:r>
      </w:hyperlink>
    </w:p>
    <w:p>
      <w:pPr>
        <w:ind w:left="1140" w:hanging="700"/>
        <w:spacing w:after="0" w:line="238" w:lineRule="auto"/>
        <w:tabs>
          <w:tab w:leader="none" w:pos="1120" w:val="left"/>
        </w:tabs>
        <w:rPr>
          <w:rFonts w:ascii="Times New Roman" w:cs="Times New Roman" w:eastAsia="Times New Roman" w:hAnsi="Times New Roman"/>
          <w:sz w:val="21"/>
          <w:szCs w:val="21"/>
          <w:u w:val="single" w:color="auto"/>
          <w:color w:val="0000EE"/>
        </w:rPr>
      </w:pPr>
      <w:hyperlink r:id="rId11">
        <w:r>
          <w:rPr>
            <w:rFonts w:ascii="Times New Roman" w:cs="Times New Roman" w:eastAsia="Times New Roman" w:hAnsi="Times New Roman"/>
            <w:sz w:val="21"/>
            <w:szCs w:val="21"/>
            <w:u w:val="single" w:color="auto"/>
            <w:color w:val="0000EE"/>
          </w:rPr>
          <w:t>3.2</w:t>
        </w:r>
      </w:hyperlink>
      <w:r>
        <w:rPr>
          <w:rFonts w:ascii="Times New Roman" w:cs="Times New Roman" w:eastAsia="Times New Roman" w:hAnsi="Times New Roman"/>
          <w:sz w:val="21"/>
          <w:szCs w:val="21"/>
          <w:u w:val="single" w:color="auto"/>
          <w:color w:val="0000EE"/>
        </w:rPr>
        <w:tab/>
      </w:r>
      <w:hyperlink r:id="rId11">
        <w:r>
          <w:rPr>
            <w:rFonts w:ascii="Times New Roman" w:cs="Times New Roman" w:eastAsia="Times New Roman" w:hAnsi="Times New Roman"/>
            <w:sz w:val="21"/>
            <w:szCs w:val="21"/>
            <w:u w:val="single" w:color="auto"/>
            <w:color w:val="0000EE"/>
          </w:rPr>
          <w:t>Amended and Restated Bylaws dated June 1, 2011. Incorporated by reference to Exhibit 3.2 to our current report on</w:t>
        </w:r>
      </w:hyperlink>
      <w:r>
        <w:rPr>
          <w:rFonts w:ascii="Times New Roman" w:cs="Times New Roman" w:eastAsia="Times New Roman" w:hAnsi="Times New Roman"/>
          <w:sz w:val="21"/>
          <w:szCs w:val="21"/>
          <w:u w:val="single" w:color="auto"/>
          <w:color w:val="0000EE"/>
        </w:rPr>
        <w:t xml:space="preserve"> </w:t>
      </w:r>
      <w:hyperlink r:id="rId11">
        <w:r>
          <w:rPr>
            <w:rFonts w:ascii="Times New Roman" w:cs="Times New Roman" w:eastAsia="Times New Roman" w:hAnsi="Times New Roman"/>
            <w:sz w:val="21"/>
            <w:szCs w:val="21"/>
            <w:u w:val="single" w:color="auto"/>
            <w:color w:val="0000EE"/>
          </w:rPr>
          <w:t>Form 8-K filed June 2, 2011.</w:t>
        </w:r>
      </w:hyperlink>
    </w:p>
    <w:p>
      <w:pPr>
        <w:spacing w:after="0" w:line="2" w:lineRule="exact"/>
        <w:rPr>
          <w:rFonts w:ascii="Times New Roman" w:cs="Times New Roman" w:eastAsia="Times New Roman" w:hAnsi="Times New Roman"/>
          <w:sz w:val="21"/>
          <w:szCs w:val="21"/>
          <w:u w:val="single" w:color="auto"/>
          <w:color w:val="0000EE"/>
        </w:rPr>
      </w:pPr>
    </w:p>
    <w:p>
      <w:pPr>
        <w:ind w:left="1140" w:hanging="700"/>
        <w:spacing w:after="0" w:line="238" w:lineRule="auto"/>
        <w:tabs>
          <w:tab w:leader="none" w:pos="1120" w:val="left"/>
        </w:tabs>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3.3</w:t>
        </w:r>
      </w:hyperlink>
      <w:r>
        <w:rPr>
          <w:rFonts w:ascii="Times New Roman" w:cs="Times New Roman" w:eastAsia="Times New Roman" w:hAnsi="Times New Roman"/>
          <w:sz w:val="21"/>
          <w:szCs w:val="21"/>
          <w:u w:val="single" w:color="auto"/>
          <w:color w:val="0000EE"/>
        </w:rPr>
        <w:tab/>
      </w:r>
      <w:hyperlink r:id="rId12">
        <w:r>
          <w:rPr>
            <w:rFonts w:ascii="Times New Roman" w:cs="Times New Roman" w:eastAsia="Times New Roman" w:hAnsi="Times New Roman"/>
            <w:sz w:val="21"/>
            <w:szCs w:val="21"/>
            <w:u w:val="single" w:color="auto"/>
            <w:color w:val="0000EE"/>
          </w:rPr>
          <w:t>First Amendment to Amended and Restated Bylaws. Incorporated by reference to Exhibit 3.1 to our Current Report</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on Form 8-K, filed August 11, 2015.</w:t>
        </w:r>
      </w:hyperlink>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7133590" cy="30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7133590" cy="305435"/>
                    </a:xfrm>
                    <a:prstGeom prst="rect">
                      <a:avLst/>
                    </a:prstGeom>
                    <a:noFill/>
                  </pic:spPr>
                </pic:pic>
              </a:graphicData>
            </a:graphic>
          </wp:anchor>
        </w:drawing>
      </w:r>
    </w:p>
    <w:p>
      <w:pPr>
        <w:ind w:left="1140" w:hanging="700"/>
        <w:spacing w:after="0" w:line="238" w:lineRule="auto"/>
        <w:tabs>
          <w:tab w:leader="none" w:pos="1120" w:val="left"/>
        </w:tabs>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3.4</w:t>
        </w:r>
      </w:hyperlink>
      <w:r>
        <w:rPr>
          <w:rFonts w:ascii="Times New Roman" w:cs="Times New Roman" w:eastAsia="Times New Roman" w:hAnsi="Times New Roman"/>
          <w:sz w:val="21"/>
          <w:szCs w:val="21"/>
          <w:u w:val="single" w:color="auto"/>
          <w:color w:val="0000EE"/>
        </w:rPr>
        <w:tab/>
      </w:r>
      <w:hyperlink r:id="rId14">
        <w:r>
          <w:rPr>
            <w:rFonts w:ascii="Times New Roman" w:cs="Times New Roman" w:eastAsia="Times New Roman" w:hAnsi="Times New Roman"/>
            <w:sz w:val="21"/>
            <w:szCs w:val="21"/>
            <w:u w:val="single" w:color="auto"/>
            <w:color w:val="0000EE"/>
          </w:rPr>
          <w:t>Second Amendment to Amended and Restated Bylaws. Incorporated by reference to Exhibit 3.1 to our Current</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Report on Form 8-K, filed February 21, 2023.</w:t>
        </w:r>
      </w:hyperlink>
    </w:p>
    <w:p>
      <w:pPr>
        <w:spacing w:after="0" w:line="2" w:lineRule="exact"/>
        <w:rPr>
          <w:rFonts w:ascii="Times New Roman" w:cs="Times New Roman" w:eastAsia="Times New Roman" w:hAnsi="Times New Roman"/>
          <w:sz w:val="21"/>
          <w:szCs w:val="21"/>
          <w:u w:val="single" w:color="auto"/>
          <w:color w:val="0000EE"/>
        </w:rPr>
      </w:pPr>
    </w:p>
    <w:p>
      <w:pPr>
        <w:ind w:left="1140" w:hanging="700"/>
        <w:spacing w:after="0" w:line="238" w:lineRule="auto"/>
        <w:tabs>
          <w:tab w:leader="none" w:pos="1120" w:val="left"/>
        </w:tabs>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4.3</w:t>
        </w:r>
      </w:hyperlink>
      <w:r>
        <w:rPr>
          <w:rFonts w:ascii="Times New Roman" w:cs="Times New Roman" w:eastAsia="Times New Roman" w:hAnsi="Times New Roman"/>
          <w:sz w:val="21"/>
          <w:szCs w:val="21"/>
          <w:u w:val="single" w:color="auto"/>
          <w:color w:val="0000EE"/>
        </w:rPr>
        <w:tab/>
      </w:r>
      <w:hyperlink r:id="rId15">
        <w:r>
          <w:rPr>
            <w:rFonts w:ascii="Times New Roman" w:cs="Times New Roman" w:eastAsia="Times New Roman" w:hAnsi="Times New Roman"/>
            <w:sz w:val="21"/>
            <w:szCs w:val="21"/>
            <w:u w:val="single" w:color="auto"/>
            <w:color w:val="0000EE"/>
          </w:rPr>
          <w:t>Description of Registrant's Securities. Incorporated by reference to Exhibit 4.1 to our Quarterly Report on Form 10-</w:t>
        </w:r>
      </w:hyperlink>
      <w:hyperlink r:id="rId15">
        <w:r>
          <w:rPr>
            <w:rFonts w:ascii="Times New Roman" w:cs="Times New Roman" w:eastAsia="Times New Roman" w:hAnsi="Times New Roman"/>
            <w:sz w:val="21"/>
            <w:szCs w:val="21"/>
            <w:u w:val="single" w:color="auto"/>
            <w:color w:val="0000EE"/>
          </w:rPr>
          <w:t>Q, filed on November 2, 2022.</w:t>
        </w:r>
      </w:hyperlink>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7133590" cy="305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33590" cy="305435"/>
                    </a:xfrm>
                    <a:prstGeom prst="rect">
                      <a:avLst/>
                    </a:prstGeom>
                    <a:noFill/>
                  </pic:spPr>
                </pic:pic>
              </a:graphicData>
            </a:graphic>
          </wp:anchor>
        </w:drawing>
      </w:r>
    </w:p>
    <w:p>
      <w:pPr>
        <w:ind w:left="380"/>
        <w:spacing w:after="0"/>
        <w:tabs>
          <w:tab w:leader="none" w:pos="1120" w:val="left"/>
        </w:tabs>
        <w:rPr>
          <w:sz w:val="20"/>
          <w:szCs w:val="20"/>
          <w:color w:val="auto"/>
        </w:rPr>
      </w:pPr>
      <w:r>
        <w:rPr>
          <w:rFonts w:ascii="Times New Roman" w:cs="Times New Roman" w:eastAsia="Times New Roman" w:hAnsi="Times New Roman"/>
          <w:sz w:val="21"/>
          <w:szCs w:val="21"/>
          <w:u w:val="single" w:color="auto"/>
          <w:color w:val="0000EE"/>
        </w:rPr>
        <w:t>5.1*</w:t>
      </w:r>
      <w:r>
        <w:rPr>
          <w:sz w:val="20"/>
          <w:szCs w:val="20"/>
          <w:color w:val="auto"/>
        </w:rPr>
        <w:tab/>
      </w:r>
      <w:r>
        <w:rPr>
          <w:rFonts w:ascii="Times New Roman" w:cs="Times New Roman" w:eastAsia="Times New Roman" w:hAnsi="Times New Roman"/>
          <w:sz w:val="21"/>
          <w:szCs w:val="21"/>
          <w:u w:val="single" w:color="auto"/>
          <w:color w:val="0000EE"/>
        </w:rPr>
        <w:t>Opinion of Troutman Pepper Locke LLP.</w:t>
      </w:r>
    </w:p>
    <w:p>
      <w:pPr>
        <w:ind w:left="1140" w:hanging="754"/>
        <w:spacing w:after="0" w:line="238" w:lineRule="auto"/>
        <w:tabs>
          <w:tab w:leader="none" w:pos="1120" w:val="left"/>
        </w:tabs>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10.1</w:t>
        </w:r>
      </w:hyperlink>
      <w:r>
        <w:rPr>
          <w:rFonts w:ascii="Times New Roman" w:cs="Times New Roman" w:eastAsia="Times New Roman" w:hAnsi="Times New Roman"/>
          <w:sz w:val="21"/>
          <w:szCs w:val="21"/>
          <w:u w:val="single" w:color="auto"/>
          <w:color w:val="0000EE"/>
        </w:rPr>
        <w:tab/>
      </w:r>
      <w:hyperlink r:id="rId17">
        <w:r>
          <w:rPr>
            <w:rFonts w:ascii="Times New Roman" w:cs="Times New Roman" w:eastAsia="Times New Roman" w:hAnsi="Times New Roman"/>
            <w:sz w:val="21"/>
            <w:szCs w:val="21"/>
            <w:u w:val="single" w:color="auto"/>
            <w:color w:val="0000EE"/>
          </w:rPr>
          <w:t>Amendment No. 1 to the Vishay Intertechnology, Inc. 2023 Long-Term Incentive Plan. Incorporated by reference to</w:t>
        </w:r>
      </w:hyperlink>
      <w:r>
        <w:rPr>
          <w:rFonts w:ascii="Times New Roman" w:cs="Times New Roman" w:eastAsia="Times New Roman" w:hAnsi="Times New Roman"/>
          <w:sz w:val="21"/>
          <w:szCs w:val="21"/>
          <w:u w:val="single" w:color="auto"/>
          <w:color w:val="0000EE"/>
        </w:rPr>
        <w:t xml:space="preserve"> </w:t>
      </w:r>
      <w:hyperlink r:id="rId17">
        <w:r>
          <w:rPr>
            <w:rFonts w:ascii="Times New Roman" w:cs="Times New Roman" w:eastAsia="Times New Roman" w:hAnsi="Times New Roman"/>
            <w:sz w:val="21"/>
            <w:szCs w:val="21"/>
            <w:u w:val="single" w:color="auto"/>
            <w:color w:val="0000EE"/>
          </w:rPr>
          <w:t>Annex A to the Company's Proxy Statement for its 2026 Annual Meeting of Stockholders, filed on April 8, 2026.</w:t>
        </w:r>
      </w:hyperlink>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7133590" cy="305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133590" cy="305435"/>
                    </a:xfrm>
                    <a:prstGeom prst="rect">
                      <a:avLst/>
                    </a:prstGeom>
                    <a:noFill/>
                  </pic:spPr>
                </pic:pic>
              </a:graphicData>
            </a:graphic>
          </wp:anchor>
        </w:drawing>
      </w:r>
    </w:p>
    <w:p>
      <w:pPr>
        <w:ind w:left="340"/>
        <w:spacing w:after="0"/>
        <w:tabs>
          <w:tab w:leader="none" w:pos="1120" w:val="left"/>
        </w:tabs>
        <w:rPr>
          <w:sz w:val="20"/>
          <w:szCs w:val="20"/>
          <w:color w:val="auto"/>
        </w:rPr>
      </w:pPr>
      <w:r>
        <w:rPr>
          <w:rFonts w:ascii="Times New Roman" w:cs="Times New Roman" w:eastAsia="Times New Roman" w:hAnsi="Times New Roman"/>
          <w:sz w:val="21"/>
          <w:szCs w:val="21"/>
          <w:u w:val="single" w:color="auto"/>
          <w:color w:val="0000EE"/>
        </w:rPr>
        <w:t>23.1*</w:t>
      </w:r>
      <w:r>
        <w:rPr>
          <w:sz w:val="20"/>
          <w:szCs w:val="20"/>
          <w:color w:val="auto"/>
        </w:rPr>
        <w:tab/>
      </w:r>
      <w:r>
        <w:rPr>
          <w:rFonts w:ascii="Times New Roman" w:cs="Times New Roman" w:eastAsia="Times New Roman" w:hAnsi="Times New Roman"/>
          <w:sz w:val="21"/>
          <w:szCs w:val="21"/>
          <w:u w:val="single" w:color="auto"/>
          <w:color w:val="0000EE"/>
        </w:rPr>
        <w:t>Consent of Troutman Pepper Locke LLP (included in Exhibit 5.1).</w:t>
      </w:r>
    </w:p>
    <w:p>
      <w:pPr>
        <w:ind w:left="340"/>
        <w:spacing w:after="0" w:line="238" w:lineRule="auto"/>
        <w:tabs>
          <w:tab w:leader="none" w:pos="1120" w:val="left"/>
        </w:tabs>
        <w:rPr>
          <w:sz w:val="20"/>
          <w:szCs w:val="20"/>
          <w:color w:val="auto"/>
        </w:rPr>
      </w:pPr>
      <w:r>
        <w:rPr>
          <w:rFonts w:ascii="Times New Roman" w:cs="Times New Roman" w:eastAsia="Times New Roman" w:hAnsi="Times New Roman"/>
          <w:sz w:val="21"/>
          <w:szCs w:val="21"/>
          <w:u w:val="single" w:color="auto"/>
          <w:color w:val="0000EE"/>
        </w:rPr>
        <w:t>23.2*</w:t>
      </w:r>
      <w:r>
        <w:rPr>
          <w:sz w:val="20"/>
          <w:szCs w:val="20"/>
          <w:color w:val="auto"/>
        </w:rPr>
        <w:tab/>
      </w:r>
      <w:r>
        <w:rPr>
          <w:rFonts w:ascii="Times New Roman" w:cs="Times New Roman" w:eastAsia="Times New Roman" w:hAnsi="Times New Roman"/>
          <w:sz w:val="21"/>
          <w:szCs w:val="21"/>
          <w:u w:val="single" w:color="auto"/>
          <w:color w:val="0000EE"/>
        </w:rPr>
        <w:t>Consent of Ernst &amp; Young LLP.</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152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3590" cy="152400"/>
                    </a:xfrm>
                    <a:prstGeom prst="rect">
                      <a:avLst/>
                    </a:prstGeom>
                    <a:noFill/>
                  </pic:spPr>
                </pic:pic>
              </a:graphicData>
            </a:graphic>
          </wp:anchor>
        </w:drawing>
      </w:r>
    </w:p>
    <w:p>
      <w:pPr>
        <w:ind w:left="340"/>
        <w:spacing w:after="0"/>
        <w:tabs>
          <w:tab w:leader="none" w:pos="1120" w:val="left"/>
        </w:tabs>
        <w:rPr>
          <w:sz w:val="20"/>
          <w:szCs w:val="20"/>
          <w:color w:val="auto"/>
        </w:rPr>
      </w:pPr>
      <w:r>
        <w:rPr>
          <w:rFonts w:ascii="Times New Roman" w:cs="Times New Roman" w:eastAsia="Times New Roman" w:hAnsi="Times New Roman"/>
          <w:sz w:val="21"/>
          <w:szCs w:val="21"/>
          <w:color w:val="auto"/>
        </w:rPr>
        <w:t>24.1*</w:t>
      </w:r>
      <w:r>
        <w:rPr>
          <w:sz w:val="20"/>
          <w:szCs w:val="20"/>
          <w:color w:val="auto"/>
        </w:rPr>
        <w:tab/>
      </w:r>
      <w:r>
        <w:rPr>
          <w:rFonts w:ascii="Times New Roman" w:cs="Times New Roman" w:eastAsia="Times New Roman" w:hAnsi="Times New Roman"/>
          <w:sz w:val="21"/>
          <w:szCs w:val="21"/>
          <w:color w:val="auto"/>
        </w:rPr>
        <w:t>Power of Attorney (set forth on the signature page of this Registration Statement).</w:t>
      </w:r>
    </w:p>
    <w:p>
      <w:pPr>
        <w:ind w:left="360"/>
        <w:spacing w:after="0" w:line="238" w:lineRule="auto"/>
        <w:tabs>
          <w:tab w:leader="none" w:pos="1120" w:val="left"/>
        </w:tabs>
        <w:rPr>
          <w:sz w:val="20"/>
          <w:szCs w:val="20"/>
          <w:color w:val="auto"/>
        </w:rPr>
      </w:pPr>
      <w:r>
        <w:rPr>
          <w:rFonts w:ascii="Times New Roman" w:cs="Times New Roman" w:eastAsia="Times New Roman" w:hAnsi="Times New Roman"/>
          <w:sz w:val="21"/>
          <w:szCs w:val="21"/>
          <w:u w:val="single" w:color="auto"/>
          <w:color w:val="0000EE"/>
        </w:rPr>
        <w:t>107*</w:t>
      </w:r>
      <w:r>
        <w:rPr>
          <w:sz w:val="20"/>
          <w:szCs w:val="20"/>
          <w:color w:val="auto"/>
        </w:rPr>
        <w:tab/>
      </w:r>
      <w:r>
        <w:rPr>
          <w:rFonts w:ascii="Times New Roman" w:cs="Times New Roman" w:eastAsia="Times New Roman" w:hAnsi="Times New Roman"/>
          <w:sz w:val="21"/>
          <w:szCs w:val="21"/>
          <w:u w:val="single" w:color="auto"/>
          <w:color w:val="0000EE"/>
        </w:rPr>
        <w:t>Filing Fee Table.</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152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3590" cy="15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 Filed herewith.</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Malvern, State of Pennsylvania, on May 18, 2026.</w:t>
      </w:r>
    </w:p>
    <w:p>
      <w:pPr>
        <w:spacing w:after="0" w:line="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VISHAY INTERTECHNOLOGY,</w:t>
      </w:r>
    </w:p>
    <w:p>
      <w:pPr>
        <w:ind w:left="5020"/>
        <w:spacing w:after="0"/>
        <w:rPr>
          <w:sz w:val="20"/>
          <w:szCs w:val="20"/>
          <w:color w:val="auto"/>
        </w:rPr>
      </w:pPr>
      <w:r>
        <w:rPr>
          <w:rFonts w:ascii="Times New Roman" w:cs="Times New Roman" w:eastAsia="Times New Roman" w:hAnsi="Times New Roman"/>
          <w:sz w:val="21"/>
          <w:szCs w:val="21"/>
          <w:b w:val="1"/>
          <w:bCs w:val="1"/>
          <w:color w:val="auto"/>
        </w:rPr>
        <w:t>INC.</w:t>
      </w:r>
    </w:p>
    <w:p>
      <w:pPr>
        <w:spacing w:after="0" w:line="2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By: /s/ David L.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25400</wp:posOffset>
            </wp:positionV>
            <wp:extent cx="35540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55409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color w:val="auto"/>
        </w:rPr>
        <w:t>Name: David L. Tomlinson</w:t>
      </w:r>
    </w:p>
    <w:p>
      <w:pPr>
        <w:spacing w:after="0" w:line="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color w:val="auto"/>
        </w:rPr>
        <w:t>Title: Senior Vice President, Chief Accounting Officer</w:t>
      </w:r>
    </w:p>
    <w:p>
      <w:pPr>
        <w:spacing w:after="0" w:line="21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1"/>
          <w:szCs w:val="21"/>
          <w:color w:val="auto"/>
        </w:rPr>
        <w:t>Pursuant to the requirements of the Securities Act of 1933, as amended, this registration statement has been signed by the following persons in the capacities indicated on May 18, 2026.</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Each person in so signing also makes, constitutes and appoints David L. Tomlinson his or her true and lawful attorney-in-fact, with full power of substitution, to execute and cause to be filed with the Commission pursuant to the requirements of the Securities Act, any and all amendments and post-effective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b w:val="1"/>
                <w:bCs w:val="1"/>
                <w:color w:val="auto"/>
              </w:rPr>
              <w:t>Signature</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b w:val="1"/>
                <w:bCs w:val="1"/>
                <w:color w:val="auto"/>
              </w:rPr>
              <w:t>Title</w:t>
            </w: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Joel Smejkal</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President, Chief Executive Officer, and Director</w:t>
            </w:r>
          </w:p>
        </w:tc>
      </w:tr>
      <w:tr>
        <w:trPr>
          <w:trHeight w:val="272"/>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Joel Smejkal</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(Principal Executive Officer)</w:t>
            </w: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David E. McConnell</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Executive Vice President, Chief Financial Officer</w:t>
            </w:r>
          </w:p>
        </w:tc>
      </w:tr>
      <w:tr>
        <w:trPr>
          <w:trHeight w:val="272"/>
        </w:trPr>
        <w:tc>
          <w:tcPr>
            <w:tcW w:w="204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1"/>
                <w:szCs w:val="21"/>
                <w:color w:val="auto"/>
              </w:rPr>
              <w:t>David E. McConnell</w:t>
            </w: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(Principal Financial Officer)</w:t>
            </w: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David L. Tomlinson</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Senior Vice President, Chief Accounting Officer</w:t>
            </w:r>
          </w:p>
        </w:tc>
      </w:tr>
      <w:tr>
        <w:trPr>
          <w:trHeight w:val="272"/>
        </w:trPr>
        <w:tc>
          <w:tcPr>
            <w:tcW w:w="19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David L. Tomlinson</w:t>
            </w:r>
          </w:p>
        </w:tc>
        <w:tc>
          <w:tcPr>
            <w:tcW w:w="120" w:type="dxa"/>
            <w:vAlign w:val="bottom"/>
            <w:gridSpan w:val="2"/>
          </w:tcPr>
          <w:p>
            <w:pPr>
              <w:spacing w:after="0"/>
              <w:rPr>
                <w:sz w:val="23"/>
                <w:szCs w:val="23"/>
                <w:color w:val="auto"/>
              </w:rPr>
            </w:pPr>
          </w:p>
        </w:tc>
        <w:tc>
          <w:tcPr>
            <w:tcW w:w="860" w:type="dxa"/>
            <w:vAlign w:val="bottom"/>
          </w:tcPr>
          <w:p>
            <w:pPr>
              <w:spacing w:after="0"/>
              <w:rPr>
                <w:sz w:val="23"/>
                <w:szCs w:val="23"/>
                <w:color w:val="auto"/>
              </w:rPr>
            </w:pP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(Principal Accounting Officer)</w:t>
            </w: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Marc Zandman</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Executive Chairman of the Board of Directors</w:t>
            </w:r>
          </w:p>
        </w:tc>
      </w:tr>
      <w:tr>
        <w:trPr>
          <w:trHeight w:val="272"/>
        </w:trPr>
        <w:tc>
          <w:tcPr>
            <w:tcW w:w="15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Marc Zandman</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gridSpan w:val="3"/>
          </w:tcPr>
          <w:p>
            <w:pPr>
              <w:spacing w:after="0"/>
              <w:rPr>
                <w:sz w:val="23"/>
                <w:szCs w:val="23"/>
                <w:color w:val="auto"/>
              </w:rPr>
            </w:pPr>
          </w:p>
        </w:tc>
        <w:tc>
          <w:tcPr>
            <w:tcW w:w="860" w:type="dxa"/>
            <w:vAlign w:val="bottom"/>
          </w:tcPr>
          <w:p>
            <w:pPr>
              <w:spacing w:after="0"/>
              <w:rPr>
                <w:sz w:val="23"/>
                <w:szCs w:val="23"/>
                <w:color w:val="auto"/>
              </w:rPr>
            </w:pPr>
          </w:p>
        </w:tc>
        <w:tc>
          <w:tcPr>
            <w:tcW w:w="5080" w:type="dxa"/>
            <w:vAlign w:val="bottom"/>
          </w:tcPr>
          <w:p>
            <w:pPr>
              <w:spacing w:after="0"/>
              <w:rPr>
                <w:sz w:val="23"/>
                <w:szCs w:val="23"/>
                <w:color w:val="auto"/>
              </w:rPr>
            </w:pP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Renee B. Booth</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Director</w:t>
            </w:r>
          </w:p>
        </w:tc>
      </w:tr>
      <w:tr>
        <w:trPr>
          <w:trHeight w:val="272"/>
        </w:trPr>
        <w:tc>
          <w:tcPr>
            <w:tcW w:w="16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rPr>
              <w:t>Renee B. Booth</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gridSpan w:val="3"/>
          </w:tcPr>
          <w:p>
            <w:pPr>
              <w:spacing w:after="0"/>
              <w:rPr>
                <w:sz w:val="23"/>
                <w:szCs w:val="23"/>
                <w:color w:val="auto"/>
              </w:rPr>
            </w:pPr>
          </w:p>
        </w:tc>
        <w:tc>
          <w:tcPr>
            <w:tcW w:w="860" w:type="dxa"/>
            <w:vAlign w:val="bottom"/>
          </w:tcPr>
          <w:p>
            <w:pPr>
              <w:spacing w:after="0"/>
              <w:rPr>
                <w:sz w:val="23"/>
                <w:szCs w:val="23"/>
                <w:color w:val="auto"/>
              </w:rPr>
            </w:pPr>
          </w:p>
        </w:tc>
        <w:tc>
          <w:tcPr>
            <w:tcW w:w="5080" w:type="dxa"/>
            <w:vAlign w:val="bottom"/>
          </w:tcPr>
          <w:p>
            <w:pPr>
              <w:spacing w:after="0"/>
              <w:rPr>
                <w:sz w:val="23"/>
                <w:szCs w:val="23"/>
                <w:color w:val="auto"/>
              </w:rPr>
            </w:pP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Michael J. Cody</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Director</w:t>
            </w:r>
          </w:p>
        </w:tc>
      </w:tr>
      <w:tr>
        <w:trPr>
          <w:trHeight w:val="272"/>
        </w:trPr>
        <w:tc>
          <w:tcPr>
            <w:tcW w:w="16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Michael J. Cody</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gridSpan w:val="3"/>
          </w:tcPr>
          <w:p>
            <w:pPr>
              <w:spacing w:after="0"/>
              <w:rPr>
                <w:sz w:val="23"/>
                <w:szCs w:val="23"/>
                <w:color w:val="auto"/>
              </w:rPr>
            </w:pPr>
          </w:p>
        </w:tc>
        <w:tc>
          <w:tcPr>
            <w:tcW w:w="860" w:type="dxa"/>
            <w:vAlign w:val="bottom"/>
          </w:tcPr>
          <w:p>
            <w:pPr>
              <w:spacing w:after="0"/>
              <w:rPr>
                <w:sz w:val="23"/>
                <w:szCs w:val="23"/>
                <w:color w:val="auto"/>
              </w:rPr>
            </w:pPr>
          </w:p>
        </w:tc>
        <w:tc>
          <w:tcPr>
            <w:tcW w:w="5080" w:type="dxa"/>
            <w:vAlign w:val="bottom"/>
          </w:tcPr>
          <w:p>
            <w:pPr>
              <w:spacing w:after="0"/>
              <w:rPr>
                <w:sz w:val="23"/>
                <w:szCs w:val="23"/>
                <w:color w:val="auto"/>
              </w:rPr>
            </w:pP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Michiko Kurahashi</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Director</w:t>
            </w:r>
          </w:p>
        </w:tc>
      </w:tr>
      <w:tr>
        <w:trPr>
          <w:trHeight w:val="272"/>
        </w:trPr>
        <w:tc>
          <w:tcPr>
            <w:tcW w:w="19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w w:val="97"/>
              </w:rPr>
              <w:t>Dr. Michiko Kurahashi</w:t>
            </w:r>
          </w:p>
        </w:tc>
        <w:tc>
          <w:tcPr>
            <w:tcW w:w="180" w:type="dxa"/>
            <w:vAlign w:val="bottom"/>
            <w:gridSpan w:val="3"/>
          </w:tcPr>
          <w:p>
            <w:pPr>
              <w:spacing w:after="0"/>
              <w:rPr>
                <w:sz w:val="23"/>
                <w:szCs w:val="23"/>
                <w:color w:val="auto"/>
              </w:rPr>
            </w:pPr>
          </w:p>
        </w:tc>
        <w:tc>
          <w:tcPr>
            <w:tcW w:w="860" w:type="dxa"/>
            <w:vAlign w:val="bottom"/>
          </w:tcPr>
          <w:p>
            <w:pPr>
              <w:spacing w:after="0"/>
              <w:rPr>
                <w:sz w:val="23"/>
                <w:szCs w:val="23"/>
                <w:color w:val="auto"/>
              </w:rPr>
            </w:pPr>
          </w:p>
        </w:tc>
        <w:tc>
          <w:tcPr>
            <w:tcW w:w="5080" w:type="dxa"/>
            <w:vAlign w:val="bottom"/>
          </w:tcPr>
          <w:p>
            <w:pPr>
              <w:spacing w:after="0"/>
              <w:rPr>
                <w:sz w:val="23"/>
                <w:szCs w:val="23"/>
                <w:color w:val="auto"/>
              </w:rPr>
            </w:pP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Abraham Ludomirski</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Director</w:t>
            </w:r>
          </w:p>
        </w:tc>
      </w:tr>
      <w:tr>
        <w:trPr>
          <w:trHeight w:val="272"/>
        </w:trPr>
        <w:tc>
          <w:tcPr>
            <w:tcW w:w="210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1"/>
                <w:szCs w:val="21"/>
                <w:color w:val="auto"/>
                <w:w w:val="97"/>
              </w:rPr>
              <w:t>Dr. Abraham Ludomirski</w:t>
            </w:r>
          </w:p>
        </w:tc>
        <w:tc>
          <w:tcPr>
            <w:tcW w:w="860" w:type="dxa"/>
            <w:vAlign w:val="bottom"/>
          </w:tcPr>
          <w:p>
            <w:pPr>
              <w:spacing w:after="0"/>
              <w:rPr>
                <w:sz w:val="23"/>
                <w:szCs w:val="23"/>
                <w:color w:val="auto"/>
              </w:rPr>
            </w:pPr>
          </w:p>
        </w:tc>
        <w:tc>
          <w:tcPr>
            <w:tcW w:w="5080" w:type="dxa"/>
            <w:vAlign w:val="bottom"/>
          </w:tcPr>
          <w:p>
            <w:pPr>
              <w:spacing w:after="0"/>
              <w:rPr>
                <w:sz w:val="23"/>
                <w:szCs w:val="23"/>
                <w:color w:val="auto"/>
              </w:rPr>
            </w:pP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John Malvisi</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Director</w:t>
            </w:r>
          </w:p>
        </w:tc>
      </w:tr>
      <w:tr>
        <w:trPr>
          <w:trHeight w:val="272"/>
        </w:trPr>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John Malvisi</w:t>
            </w:r>
          </w:p>
        </w:tc>
        <w:tc>
          <w:tcPr>
            <w:tcW w:w="140" w:type="dxa"/>
            <w:vAlign w:val="bottom"/>
            <w:gridSpan w:val="2"/>
          </w:tcPr>
          <w:p>
            <w:pPr>
              <w:spacing w:after="0"/>
              <w:rPr>
                <w:sz w:val="23"/>
                <w:szCs w:val="23"/>
                <w:color w:val="auto"/>
              </w:rPr>
            </w:pPr>
          </w:p>
        </w:tc>
        <w:tc>
          <w:tcPr>
            <w:tcW w:w="320" w:type="dxa"/>
            <w:vAlign w:val="bottom"/>
            <w:gridSpan w:val="4"/>
          </w:tcPr>
          <w:p>
            <w:pPr>
              <w:spacing w:after="0"/>
              <w:rPr>
                <w:sz w:val="23"/>
                <w:szCs w:val="23"/>
                <w:color w:val="auto"/>
              </w:rPr>
            </w:pPr>
          </w:p>
        </w:tc>
        <w:tc>
          <w:tcPr>
            <w:tcW w:w="1120" w:type="dxa"/>
            <w:vAlign w:val="bottom"/>
            <w:gridSpan w:val="5"/>
          </w:tcPr>
          <w:p>
            <w:pPr>
              <w:spacing w:after="0"/>
              <w:rPr>
                <w:sz w:val="23"/>
                <w:szCs w:val="23"/>
                <w:color w:val="auto"/>
              </w:rPr>
            </w:pPr>
          </w:p>
        </w:tc>
        <w:tc>
          <w:tcPr>
            <w:tcW w:w="5080" w:type="dxa"/>
            <w:vAlign w:val="bottom"/>
          </w:tcPr>
          <w:p>
            <w:pPr>
              <w:spacing w:after="0"/>
              <w:rPr>
                <w:sz w:val="23"/>
                <w:szCs w:val="23"/>
                <w:color w:val="auto"/>
              </w:rPr>
            </w:pP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Ruta Zandman</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Director</w:t>
            </w:r>
          </w:p>
        </w:tc>
      </w:tr>
      <w:tr>
        <w:trPr>
          <w:trHeight w:val="272"/>
        </w:trPr>
        <w:tc>
          <w:tcPr>
            <w:tcW w:w="1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Ruta Zandman</w:t>
            </w:r>
          </w:p>
        </w:tc>
        <w:tc>
          <w:tcPr>
            <w:tcW w:w="320" w:type="dxa"/>
            <w:vAlign w:val="bottom"/>
            <w:gridSpan w:val="4"/>
          </w:tcPr>
          <w:p>
            <w:pPr>
              <w:spacing w:after="0"/>
              <w:rPr>
                <w:sz w:val="23"/>
                <w:szCs w:val="23"/>
                <w:color w:val="auto"/>
              </w:rPr>
            </w:pPr>
          </w:p>
        </w:tc>
        <w:tc>
          <w:tcPr>
            <w:tcW w:w="1120" w:type="dxa"/>
            <w:vAlign w:val="bottom"/>
            <w:gridSpan w:val="5"/>
          </w:tcPr>
          <w:p>
            <w:pPr>
              <w:spacing w:after="0"/>
              <w:rPr>
                <w:sz w:val="23"/>
                <w:szCs w:val="23"/>
                <w:color w:val="auto"/>
              </w:rPr>
            </w:pPr>
          </w:p>
        </w:tc>
        <w:tc>
          <w:tcPr>
            <w:tcW w:w="5080" w:type="dxa"/>
            <w:vAlign w:val="bottom"/>
          </w:tcPr>
          <w:p>
            <w:pPr>
              <w:spacing w:after="0"/>
              <w:rPr>
                <w:sz w:val="23"/>
                <w:szCs w:val="23"/>
                <w:color w:val="auto"/>
              </w:rPr>
            </w:pPr>
          </w:p>
        </w:tc>
      </w:tr>
      <w:tr>
        <w:trPr>
          <w:trHeight w:val="430"/>
        </w:trPr>
        <w:tc>
          <w:tcPr>
            <w:tcW w:w="296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/s/ Raanan Zilberman</w:t>
            </w:r>
          </w:p>
        </w:tc>
        <w:tc>
          <w:tcPr>
            <w:tcW w:w="508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Director</w:t>
            </w:r>
          </w:p>
        </w:tc>
      </w:tr>
      <w:tr>
        <w:trPr>
          <w:trHeight w:val="272"/>
        </w:trPr>
        <w:tc>
          <w:tcPr>
            <w:tcW w:w="18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Raanan Zilberman</w:t>
            </w:r>
          </w:p>
        </w:tc>
        <w:tc>
          <w:tcPr>
            <w:tcW w:w="1120" w:type="dxa"/>
            <w:vAlign w:val="bottom"/>
            <w:gridSpan w:val="5"/>
          </w:tcPr>
          <w:p>
            <w:pPr>
              <w:spacing w:after="0"/>
              <w:rPr>
                <w:sz w:val="23"/>
                <w:szCs w:val="23"/>
                <w:color w:val="auto"/>
              </w:rPr>
            </w:pPr>
          </w:p>
        </w:tc>
        <w:tc>
          <w:tcPr>
            <w:tcW w:w="5080" w:type="dxa"/>
            <w:vAlign w:val="bottom"/>
          </w:tcPr>
          <w:p>
            <w:pPr>
              <w:spacing w:after="0"/>
              <w:rPr>
                <w:sz w:val="23"/>
                <w:szCs w:val="23"/>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ind w:left="1000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May 18,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Vishay Intertechnology,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 Lancaster Avenue</w:t>
      </w:r>
    </w:p>
    <w:p>
      <w:pPr>
        <w:spacing w:after="0"/>
        <w:rPr>
          <w:sz w:val="20"/>
          <w:szCs w:val="20"/>
          <w:color w:val="auto"/>
        </w:rPr>
      </w:pPr>
      <w:r>
        <w:rPr>
          <w:rFonts w:ascii="Times New Roman" w:cs="Times New Roman" w:eastAsia="Times New Roman" w:hAnsi="Times New Roman"/>
          <w:sz w:val="21"/>
          <w:szCs w:val="21"/>
          <w:color w:val="auto"/>
        </w:rPr>
        <w:t>Malvern, Pennsylvania 19355</w:t>
      </w:r>
    </w:p>
    <w:p>
      <w:pPr>
        <w:spacing w:after="0" w:line="21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1"/>
          <w:szCs w:val="21"/>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Registration Statement on Form S-8</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We have acted as counsel to Vishay Intertechnology, Inc., a Delaware corporation (the “Company”), in connection with the Registration Statement on Form S-8 (the “Registration Statement”), as filed by the Company with the Securities and Exchange Commission (the “Commission”) on the date hereof, pursuant to the Securities Act of 1933, as amended (the “Securities Act”), to register 8,000,000 shares of common stock, par value $0.10 per share, of the Company (the “Shares”), issuable by the Company from time to time pursuant to the Vishay Intertechnology, Inc. 2023 Long-Term Incentive Plan (as amended, the “Plan”).</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This opinion is being furnished in accordance with the requirements of Item 8(a) of Form S-8 and Item 601(b)(5)(i) of Regulation S-K.</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have examined originals or copies of such corporate records, agreements and instruments of the Company, statements and certificates of public officials and officers of the Company, and such other documents, records and instruments, including the Plan,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When relevant facts were not independently established, we have relied without independent investigation as to matters of fact upon statements of governmental officials and upon representations made in or pursuant to the certificates and statements of appropriate representatives of the Company.</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In connection herewith, we have assumed that (i) all of the documents referred to in this opinion letter have been duly authorized by, have been duly executed and delivered by, and constitute the valid, binding and enforceable obligations of, all of the parties to such documents, (ii) all of the signatories to the documents referred to in this opinion letter have been duly authorized, and (iii) all of the parties to the documents referred to in this opinion letter are duly organized and validly existing and have the power and authority (corporate or other) to execute, deliver and perform such documents.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We do not purport to express an opinion on any laws other than the laws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Based upon the foregoing and in reliance thereon, and subject to the assumptions, comments, qualifications, limitations and exceptions set forth herein, we are of the opinion that the Shares have been duly authorized for issuance, and when issued, delivered and paid for in accordance with the Plan (assuming that, upon any issuance of the Shares, the total number of shares of common stock issued and outstanding will not exceed the total number of shares of common stock that the Company is then authorized to issue under its Certificate of Incorporation, as amended), the Shares will be validly issued, fully paid and non-assessable.</w:t>
      </w: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do not render any opinions except as set forth above. We hereby consent to the filing of this opinion as Exhibit 5.1 to the Registration Statement and to the use of our name under the caption “Legal Matters” in the prospectus filed as a part thereof.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this consent, we do not admit that we are within the category of persons whose consent is required by Section 7 of the Securities Act or the rules and regulations promulgated thereunder by the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Troutman Pepper Locke LLP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Troutman Pepper Locke LLP</w:t>
      </w:r>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 (Form S-8) pertaining to the 2023 Long-Term Incentive Plan of Vishay Intertechnology, Inc. of our reports dated February 13, 2026, with respect to the consolidated financial statements of Vishay Intertechnology, Inc. and the effectiveness of internal control over financial reporting of Vishay Intertechnology, Inc. included in its Annual Report (Form 10-K) for the year ended December 31, 2025, filed with the Securities and Exchange Commission.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18, 2026</w:t>
      </w:r>
    </w:p>
    <w:p>
      <w:pPr>
        <w:sectPr>
          <w:pgSz w:w="11900" w:h="16838" w:orient="portrait"/>
          <w:cols w:equalWidth="0" w:num="1">
            <w:col w:w="11240"/>
          </w:cols>
          <w:pgMar w:left="320" w:top="108" w:right="339" w:bottom="1440" w:gutter="0" w:footer="0" w:header="0"/>
        </w:sectPr>
      </w:pPr>
    </w:p>
    <w:bookmarkStart w:id="5" w:name="page6"/>
    <w:bookmarkEnd w:id="5"/>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VISHAY INTERTECHNOLOGY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9"/>
              </w:rPr>
              <w:t>par value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8,000,000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$ 36.71</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$ 40,557.21</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293,680,000.00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$0.10 per</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$ 40,557.21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293,680,000.00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$ 40,557.21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80" w:firstLine="2"/>
        <w:spacing w:after="0" w:line="242" w:lineRule="auto"/>
        <w:tabs>
          <w:tab w:leader="none" w:pos="1121" w:val="left"/>
        </w:tabs>
        <w:numPr>
          <w:ilvl w:val="0"/>
          <w:numId w:val="1"/>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("Securities Act"), this Registration Statement shall also cover any additional shares of the Registrant's Common Stock that become issuable in respect of the securities identified in the above table for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1" w:lineRule="exact"/>
        <w:rPr>
          <w:rFonts w:ascii="Arial" w:cs="Arial" w:eastAsia="Arial" w:hAnsi="Arial"/>
          <w:sz w:val="21"/>
          <w:szCs w:val="21"/>
          <w:color w:val="auto"/>
        </w:rPr>
      </w:pPr>
    </w:p>
    <w:p>
      <w:pPr>
        <w:ind w:left="800" w:right="1200" w:firstLine="2"/>
        <w:spacing w:after="0" w:line="238" w:lineRule="auto"/>
        <w:tabs>
          <w:tab w:leader="none" w:pos="1121" w:val="left"/>
        </w:tabs>
        <w:numPr>
          <w:ilvl w:val="0"/>
          <w:numId w:val="1"/>
        </w:numPr>
        <w:rPr>
          <w:rFonts w:ascii="Arial" w:cs="Arial" w:eastAsia="Arial" w:hAnsi="Arial"/>
          <w:sz w:val="21"/>
          <w:szCs w:val="21"/>
          <w:color w:val="auto"/>
        </w:rPr>
      </w:pPr>
      <w:r>
        <w:rPr>
          <w:rFonts w:ascii="Arial" w:cs="Arial" w:eastAsia="Arial" w:hAnsi="Arial"/>
          <w:sz w:val="21"/>
          <w:szCs w:val="21"/>
          <w:color w:val="auto"/>
        </w:rPr>
        <w:t>Represents shares of the Registrant's Common Stock issuable under Amendment No. 1 to the Vishay Intertechnology, Inc. 2023 Long-Term Incentive Plan (the "2023 Plan") that have not been previously registered.</w:t>
      </w:r>
    </w:p>
    <w:p>
      <w:pPr>
        <w:spacing w:after="0" w:line="2" w:lineRule="exact"/>
        <w:rPr>
          <w:rFonts w:ascii="Arial" w:cs="Arial" w:eastAsia="Arial" w:hAnsi="Arial"/>
          <w:sz w:val="21"/>
          <w:szCs w:val="21"/>
          <w:color w:val="auto"/>
        </w:rPr>
      </w:pPr>
    </w:p>
    <w:p>
      <w:pPr>
        <w:ind w:left="800" w:right="800" w:firstLine="2"/>
        <w:spacing w:after="0" w:line="245" w:lineRule="auto"/>
        <w:tabs>
          <w:tab w:leader="none" w:pos="1121" w:val="left"/>
        </w:tabs>
        <w:numPr>
          <w:ilvl w:val="0"/>
          <w:numId w:val="1"/>
        </w:numPr>
        <w:rPr>
          <w:rFonts w:ascii="Arial" w:cs="Arial" w:eastAsia="Arial" w:hAnsi="Arial"/>
          <w:sz w:val="21"/>
          <w:szCs w:val="21"/>
          <w:color w:val="auto"/>
        </w:rPr>
      </w:pPr>
      <w:r>
        <w:rPr>
          <w:rFonts w:ascii="Arial" w:cs="Arial" w:eastAsia="Arial" w:hAnsi="Arial"/>
          <w:sz w:val="21"/>
          <w:szCs w:val="21"/>
          <w:color w:val="auto"/>
        </w:rPr>
        <w:t>Estimated in accordance with Rules 457(c) and (h) under the Securities Act of 1933, as amended, solely for the purpose of computing the registration fee on the basis of the average of the high and low prices of the Registrant's Common Stock as reported on the New York Stock Exchange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77470</wp:posOffset>
            </wp:positionV>
            <wp:extent cx="6387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9" Type="http://schemas.openxmlformats.org/officeDocument/2006/relationships/hyperlink" Target="https://www.sec.gov/Archives/edgar/data/103730/000010373012000031/exhhibit3-1.htm" TargetMode="External"/><Relationship Id="rId11" Type="http://schemas.openxmlformats.org/officeDocument/2006/relationships/hyperlink" Target="https://www.sec.gov/Archives/edgar/data/103730/000120677411001322/exhibit3-2.htm" TargetMode="External"/><Relationship Id="rId12" Type="http://schemas.openxmlformats.org/officeDocument/2006/relationships/hyperlink" Target="https://www.sec.gov/Archives/edgar/data/103730/000010373015000037/exhibit3-1.htm" TargetMode="External"/><Relationship Id="rId14" Type="http://schemas.openxmlformats.org/officeDocument/2006/relationships/hyperlink" Target="https://www.sec.gov/Archives/edgar/data/103730/000010373023000010/exhibit3-1.htm" TargetMode="External"/><Relationship Id="rId15" Type="http://schemas.openxmlformats.org/officeDocument/2006/relationships/hyperlink" Target="https://www.sec.gov/Archives/edgar/data/103730/000010373022000072/exhibit4-1.htm" TargetMode="External"/><Relationship Id="rId17" Type="http://schemas.openxmlformats.org/officeDocument/2006/relationships/hyperlink" Target="https://www.sec.gov/Archives/edgar/data/103730/000010373026000029/vishay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2026-05-18T15:36:37Z</dcterms:created>
  <dcterms:modified xsi:type="dcterms:W3CDTF">2026-05-18T15:36:37Z</dcterms:modified>
</cp:coreProperties>
</file>